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F7A" w:rsidRPr="00FA1632" w:rsidRDefault="008E24CD" w:rsidP="007372C7">
      <w:pPr>
        <w:pStyle w:val="Heading4"/>
        <w:spacing w:after="240"/>
        <w:jc w:val="right"/>
      </w:pPr>
      <w:bookmarkStart w:id="0" w:name="_GoBack"/>
      <w:bookmarkEnd w:id="0"/>
      <w:r w:rsidRPr="00FA1632">
        <w:t xml:space="preserve">Issue </w:t>
      </w:r>
      <w:r w:rsidR="00F570D6" w:rsidRPr="00FA1632">
        <w:t>5</w:t>
      </w:r>
      <w:r w:rsidR="00F47366">
        <w:t>7 December</w:t>
      </w:r>
      <w:r w:rsidR="00C54C30" w:rsidRPr="00FA1632">
        <w:t xml:space="preserve"> 2015</w:t>
      </w:r>
    </w:p>
    <w:p w:rsidR="00FC1051" w:rsidRPr="00FA1632" w:rsidRDefault="00F47366" w:rsidP="00FC1051">
      <w:pPr>
        <w:pStyle w:val="Heading1"/>
        <w:rPr>
          <w:szCs w:val="36"/>
        </w:rPr>
      </w:pPr>
      <w:r>
        <w:rPr>
          <w:szCs w:val="36"/>
        </w:rPr>
        <w:t>The Trouble with Regulatory Precedent</w:t>
      </w:r>
    </w:p>
    <w:p w:rsidR="00FC1051" w:rsidRDefault="00F47366" w:rsidP="00F305B8">
      <w:pPr>
        <w:pStyle w:val="Heading2"/>
        <w:spacing w:before="240" w:after="240" w:line="240" w:lineRule="auto"/>
        <w:rPr>
          <w:rFonts w:cs="Arial"/>
          <w:szCs w:val="28"/>
          <w:lang w:val="en-GB"/>
        </w:rPr>
      </w:pPr>
      <w:r>
        <w:rPr>
          <w:rFonts w:cs="Arial"/>
          <w:szCs w:val="28"/>
          <w:lang w:val="en-GB"/>
        </w:rPr>
        <w:t>Ranjini Nayager and Adam Wilson</w:t>
      </w:r>
      <w:r w:rsidR="00FA1632">
        <w:rPr>
          <w:rStyle w:val="FootnoteReference"/>
        </w:rPr>
        <w:footnoteRef/>
      </w:r>
    </w:p>
    <w:p w:rsidR="00FA1632" w:rsidRPr="00FA1632" w:rsidRDefault="00FA1632" w:rsidP="00FA1632">
      <w:pPr>
        <w:rPr>
          <w:lang w:val="en-GB"/>
        </w:rPr>
        <w:sectPr w:rsidR="00FA1632" w:rsidRPr="00FA1632" w:rsidSect="00272513">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6" w:h="16838" w:code="9"/>
          <w:pgMar w:top="3119" w:right="851" w:bottom="1134" w:left="851" w:header="567" w:footer="567" w:gutter="0"/>
          <w:pgNumType w:start="1"/>
          <w:cols w:space="708"/>
          <w:titlePg/>
          <w:docGrid w:linePitch="360"/>
        </w:sectPr>
      </w:pPr>
    </w:p>
    <w:p w:rsidR="00F47366" w:rsidRPr="001F538E" w:rsidRDefault="00F47366" w:rsidP="00F47366">
      <w:pPr>
        <w:rPr>
          <w:rStyle w:val="Network-bodytext"/>
        </w:rPr>
      </w:pPr>
      <w:r w:rsidRPr="001F538E">
        <w:rPr>
          <w:rStyle w:val="Network-bodytext"/>
        </w:rPr>
        <w:lastRenderedPageBreak/>
        <w:t xml:space="preserve">In Australian economic regulatory proceedings, a call for regulators to strictly follow something referred to as </w:t>
      </w:r>
      <w:r w:rsidRPr="00385187">
        <w:rPr>
          <w:rStyle w:val="Network-bodytext"/>
          <w:i/>
        </w:rPr>
        <w:t>regulatory precedent</w:t>
      </w:r>
      <w:r w:rsidRPr="001F538E">
        <w:rPr>
          <w:rStyle w:val="Network-bodytext"/>
        </w:rPr>
        <w:t xml:space="preserve"> – seemingly an expectation or requirement for the strict application of past decisions in current decision-making processes – is sometimes heard. </w:t>
      </w:r>
    </w:p>
    <w:p w:rsidR="00F47366" w:rsidRPr="001F538E" w:rsidRDefault="00F47366" w:rsidP="00F47366">
      <w:pPr>
        <w:rPr>
          <w:rStyle w:val="Network-bodytext"/>
        </w:rPr>
      </w:pPr>
      <w:r w:rsidRPr="001F538E">
        <w:rPr>
          <w:rStyle w:val="Network-bodytext"/>
        </w:rPr>
        <w:t>At one level this might simply be interpreted as a reasonable desire for a degree of certainty in the application of regulatory practice and principles.</w:t>
      </w:r>
      <w:r w:rsidR="00493855">
        <w:rPr>
          <w:rStyle w:val="Network-bodytext"/>
        </w:rPr>
        <w:t xml:space="preserve"> </w:t>
      </w:r>
      <w:r w:rsidRPr="001F538E">
        <w:rPr>
          <w:rStyle w:val="Network-bodytext"/>
        </w:rPr>
        <w:t xml:space="preserve"> In the extreme, or if applied without caution, the concept of </w:t>
      </w:r>
      <w:r w:rsidRPr="00385187">
        <w:rPr>
          <w:rStyle w:val="Network-bodytext"/>
          <w:i/>
        </w:rPr>
        <w:t>regulatory precedent</w:t>
      </w:r>
      <w:r w:rsidRPr="001F538E">
        <w:rPr>
          <w:rStyle w:val="Network-bodytext"/>
        </w:rPr>
        <w:t xml:space="preserve"> may extend to a quest for certainty of specific outcomes, merely because those same regulatory outcomes were observed in their past and regardless of their practical applicability to the problem of the day.</w:t>
      </w:r>
    </w:p>
    <w:p w:rsidR="00F47366" w:rsidRPr="001F538E" w:rsidRDefault="00F47366" w:rsidP="00F47366">
      <w:pPr>
        <w:rPr>
          <w:rStyle w:val="Network-bodytext"/>
        </w:rPr>
      </w:pPr>
      <w:r w:rsidRPr="001F538E">
        <w:rPr>
          <w:rStyle w:val="Network-bodytext"/>
        </w:rPr>
        <w:t xml:space="preserve">The term </w:t>
      </w:r>
      <w:r w:rsidRPr="00385187">
        <w:rPr>
          <w:rStyle w:val="Network-bodytext"/>
          <w:i/>
        </w:rPr>
        <w:t>regulatory precedent</w:t>
      </w:r>
      <w:r w:rsidRPr="001F538E">
        <w:rPr>
          <w:rStyle w:val="Network-bodytext"/>
        </w:rPr>
        <w:t xml:space="preserve"> in that strict sense appears to be based, at least in part, on the doctrine of </w:t>
      </w:r>
      <w:r w:rsidRPr="00385187">
        <w:rPr>
          <w:rStyle w:val="Network-bodytext"/>
          <w:i/>
        </w:rPr>
        <w:t>legal precedent</w:t>
      </w:r>
      <w:r w:rsidRPr="001F538E">
        <w:rPr>
          <w:rStyle w:val="Network-bodytext"/>
        </w:rPr>
        <w:t xml:space="preserve">.  However, adoption or adaption of the legal doctrine in its narrowest and strictest form into the world of economic regulation may well lead economic regulators into a self-referencing cycle of simply repeating prior decisions. It may therefore reduce the effectiveness of economic regulation in enhancing consumer welfare. </w:t>
      </w:r>
    </w:p>
    <w:p w:rsidR="00F47366" w:rsidRPr="001F538E" w:rsidRDefault="00F47366" w:rsidP="00F47366">
      <w:pPr>
        <w:rPr>
          <w:rStyle w:val="Network-bodytext"/>
        </w:rPr>
      </w:pPr>
      <w:r w:rsidRPr="001F538E">
        <w:rPr>
          <w:rStyle w:val="Network-bodytext"/>
        </w:rPr>
        <w:t xml:space="preserve">It is right for economic regulators to be aware of and have regard to past (and current) </w:t>
      </w:r>
      <w:r w:rsidRPr="00385187">
        <w:rPr>
          <w:rStyle w:val="Network-bodytext"/>
          <w:i/>
        </w:rPr>
        <w:t>regulatory practice</w:t>
      </w:r>
      <w:r w:rsidRPr="001F538E">
        <w:rPr>
          <w:rStyle w:val="Network-bodytext"/>
        </w:rPr>
        <w:t xml:space="preserve"> – but to elevate that practice to the status of a binding precedent is to be avoided.</w:t>
      </w:r>
    </w:p>
    <w:p w:rsidR="00F47366" w:rsidRPr="00AC5DA4" w:rsidRDefault="00F47366" w:rsidP="00F47366">
      <w:pPr>
        <w:rPr>
          <w:rStyle w:val="Network-bodytext"/>
          <w:b/>
        </w:rPr>
      </w:pPr>
      <w:r w:rsidRPr="00AC5DA4">
        <w:rPr>
          <w:rStyle w:val="Network-bodytext"/>
          <w:b/>
        </w:rPr>
        <w:t>What is the problem?</w:t>
      </w:r>
    </w:p>
    <w:p w:rsidR="00F47366" w:rsidRPr="001F538E" w:rsidRDefault="00F47366" w:rsidP="00F47366">
      <w:pPr>
        <w:rPr>
          <w:rStyle w:val="Network-bodytext"/>
        </w:rPr>
      </w:pPr>
      <w:r w:rsidRPr="001F538E">
        <w:rPr>
          <w:rStyle w:val="Network-bodytext"/>
        </w:rPr>
        <w:t>Economic regulation is a relatively modern practice in this country. It is, at its heart, the real-world application of a set of inter-disciplinary skills, tools and practices.</w:t>
      </w:r>
      <w:r w:rsidR="00493855">
        <w:rPr>
          <w:rStyle w:val="Network-bodytext"/>
        </w:rPr>
        <w:t xml:space="preserve"> </w:t>
      </w:r>
      <w:r w:rsidRPr="001F538E">
        <w:rPr>
          <w:rStyle w:val="Network-bodytext"/>
        </w:rPr>
        <w:t xml:space="preserve"> Those are deployed under the broad rubric of ‘regulation’ in order to meet a specific end or to address the specific mischief of a given case. </w:t>
      </w:r>
    </w:p>
    <w:p w:rsidR="00F47366" w:rsidRPr="001F538E" w:rsidRDefault="00F47366" w:rsidP="00F47366">
      <w:pPr>
        <w:rPr>
          <w:rStyle w:val="Network-bodytext"/>
        </w:rPr>
      </w:pPr>
      <w:r w:rsidRPr="001F538E">
        <w:rPr>
          <w:rStyle w:val="Network-bodytext"/>
        </w:rPr>
        <w:t xml:space="preserve">In that sense, economic regulation can be said to be founded in economic principles and theory, given </w:t>
      </w:r>
      <w:r w:rsidRPr="001F538E">
        <w:rPr>
          <w:rStyle w:val="Network-bodytext"/>
        </w:rPr>
        <w:lastRenderedPageBreak/>
        <w:t xml:space="preserve">direction through policy and applied through the law. </w:t>
      </w:r>
      <w:r w:rsidR="009549DB">
        <w:rPr>
          <w:rStyle w:val="Network-bodytext"/>
        </w:rPr>
        <w:t>Whilst regulation</w:t>
      </w:r>
      <w:r w:rsidRPr="001F538E">
        <w:rPr>
          <w:rStyle w:val="Network-bodytext"/>
        </w:rPr>
        <w:t xml:space="preserve"> busies itself on a day-to-day basis through the utilisation of audit, financial and compliance systems</w:t>
      </w:r>
      <w:r w:rsidR="009549DB">
        <w:rPr>
          <w:rStyle w:val="Network-bodytext"/>
        </w:rPr>
        <w:t>, it should utilis</w:t>
      </w:r>
      <w:r w:rsidRPr="001F538E">
        <w:rPr>
          <w:rStyle w:val="Network-bodytext"/>
        </w:rPr>
        <w:t xml:space="preserve">e relevant approaches and practices from each discipline as appropriate. </w:t>
      </w:r>
      <w:r w:rsidR="009549DB">
        <w:rPr>
          <w:rStyle w:val="Network-bodytext"/>
        </w:rPr>
        <w:t xml:space="preserve"> Regulators have at their disposal a veritable panoply of disciplines to draw on in finding solutions to problems.  This unique access to a broad range of disciplines as part of a regulator’s tool kit is what gives the regulator its advantage.</w:t>
      </w:r>
    </w:p>
    <w:p w:rsidR="00F47366" w:rsidRPr="001F538E" w:rsidRDefault="00F47366" w:rsidP="00F47366">
      <w:pPr>
        <w:rPr>
          <w:rStyle w:val="Network-bodytext"/>
        </w:rPr>
      </w:pPr>
      <w:r w:rsidRPr="001F538E">
        <w:rPr>
          <w:rStyle w:val="Network-bodytext"/>
        </w:rPr>
        <w:t xml:space="preserve">If, however, the practice of economic regulation draws too heavily on past decisions in the way that might be implied by </w:t>
      </w:r>
      <w:r w:rsidRPr="00385187">
        <w:rPr>
          <w:rStyle w:val="Network-bodytext"/>
          <w:i/>
        </w:rPr>
        <w:t>legal precedent</w:t>
      </w:r>
      <w:r w:rsidRPr="001F538E">
        <w:rPr>
          <w:rStyle w:val="Network-bodytext"/>
        </w:rPr>
        <w:t xml:space="preserve">, then the </w:t>
      </w:r>
      <w:r w:rsidR="009549DB">
        <w:rPr>
          <w:rStyle w:val="Network-bodytext"/>
        </w:rPr>
        <w:t>efficacy</w:t>
      </w:r>
      <w:r w:rsidRPr="001F538E">
        <w:rPr>
          <w:rStyle w:val="Network-bodytext"/>
        </w:rPr>
        <w:t xml:space="preserve"> and benefit of the broader suite of approaches and practices becomes diluted.</w:t>
      </w:r>
    </w:p>
    <w:p w:rsidR="00F47366" w:rsidRPr="001F538E" w:rsidRDefault="00F47366" w:rsidP="00F47366">
      <w:pPr>
        <w:rPr>
          <w:rStyle w:val="Network-bodytext"/>
        </w:rPr>
      </w:pPr>
      <w:r w:rsidRPr="00385187">
        <w:rPr>
          <w:rStyle w:val="Network-bodytext"/>
          <w:i/>
        </w:rPr>
        <w:t>Oxford Dictionar</w:t>
      </w:r>
      <w:r w:rsidR="006734B4">
        <w:rPr>
          <w:rStyle w:val="Network-bodytext"/>
          <w:i/>
        </w:rPr>
        <w:t>ies</w:t>
      </w:r>
      <w:r w:rsidRPr="001F538E">
        <w:rPr>
          <w:rStyle w:val="Network-bodytext"/>
        </w:rPr>
        <w:t xml:space="preserve"> distinguishes between precedent in a general sense (</w:t>
      </w:r>
      <w:r w:rsidRPr="00385187">
        <w:rPr>
          <w:rStyle w:val="Network-bodytext"/>
          <w:i/>
        </w:rPr>
        <w:t>An earlier event or action that is regarded as an example or guide to be considered in subsequent similar circumstances</w:t>
      </w:r>
      <w:r w:rsidRPr="001F538E">
        <w:rPr>
          <w:rStyle w:val="Network-bodytext"/>
        </w:rPr>
        <w:t>) and as it relates to the law (</w:t>
      </w:r>
      <w:r w:rsidRPr="00385187">
        <w:rPr>
          <w:rStyle w:val="Network-bodytext"/>
          <w:i/>
        </w:rPr>
        <w:t>A previous case or legal decision that may be or (binding precedent) must be followed in subsequent similar case</w:t>
      </w:r>
      <w:r w:rsidRPr="001F538E">
        <w:rPr>
          <w:rStyle w:val="Network-bodytext"/>
        </w:rPr>
        <w:t>s).  It is the latter definition which may have adverse impacts for economic regulation if applied to decision-making.</w:t>
      </w:r>
    </w:p>
    <w:p w:rsidR="009549DB" w:rsidRDefault="00636BBE" w:rsidP="00F47366">
      <w:pPr>
        <w:rPr>
          <w:rStyle w:val="Network-bodytext"/>
        </w:rPr>
      </w:pPr>
      <w:r>
        <w:rPr>
          <w:rStyle w:val="Network-bodytext"/>
        </w:rPr>
        <w:pict>
          <v:shapetype id="_x0000_t202" coordsize="21600,21600" o:spt="202" path="m,l,21600r21600,l21600,xe">
            <v:stroke joinstyle="miter"/>
            <v:path gradientshapeok="t" o:connecttype="rect"/>
          </v:shapetype>
          <v:shape id="Text Box 2" o:spid="_x0000_s1486" type="#_x0000_t202" style="position:absolute;left:0;text-align:left;margin-left:3.95pt;margin-top:23.45pt;width:232.9pt;height:127.95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320E82" w:rsidRPr="00087AB5" w:rsidRDefault="00320E82" w:rsidP="00320E82">
                  <w:pPr>
                    <w:pStyle w:val="NormalWeb"/>
                    <w:spacing w:before="0" w:beforeAutospacing="0" w:after="120" w:afterAutospacing="0"/>
                    <w:rPr>
                      <w:rFonts w:ascii="Arial" w:hAnsi="Arial" w:cs="Arial"/>
                      <w:b/>
                      <w:color w:val="333333"/>
                      <w:sz w:val="22"/>
                      <w:szCs w:val="22"/>
                    </w:rPr>
                  </w:pPr>
                  <w:r w:rsidRPr="00087AB5">
                    <w:rPr>
                      <w:rFonts w:ascii="Arial" w:hAnsi="Arial" w:cs="Arial"/>
                      <w:b/>
                      <w:color w:val="333333"/>
                      <w:sz w:val="22"/>
                      <w:szCs w:val="22"/>
                    </w:rPr>
                    <w:t>Contents</w:t>
                  </w:r>
                </w:p>
                <w:p w:rsidR="00320E82" w:rsidRPr="00087AB5" w:rsidRDefault="00320E82" w:rsidP="00320E82">
                  <w:pPr>
                    <w:pStyle w:val="ContentsList"/>
                    <w:spacing w:before="0" w:line="240" w:lineRule="auto"/>
                    <w:rPr>
                      <w:rFonts w:ascii="Arial" w:hAnsi="Arial" w:cs="Arial"/>
                    </w:rPr>
                  </w:pPr>
                  <w:r w:rsidRPr="00087AB5">
                    <w:rPr>
                      <w:rFonts w:ascii="Arial" w:hAnsi="Arial" w:cs="Arial"/>
                    </w:rPr>
                    <w:t>Lead Article</w:t>
                  </w:r>
                  <w:r w:rsidRPr="00087AB5">
                    <w:rPr>
                      <w:rFonts w:ascii="Arial" w:hAnsi="Arial" w:cs="Arial"/>
                    </w:rPr>
                    <w:tab/>
                    <w:t>1</w:t>
                  </w:r>
                </w:p>
                <w:p w:rsidR="00320E82" w:rsidRPr="00087AB5" w:rsidRDefault="00320E82" w:rsidP="00320E82">
                  <w:pPr>
                    <w:pStyle w:val="ContentsList"/>
                    <w:spacing w:before="0" w:line="240" w:lineRule="auto"/>
                    <w:rPr>
                      <w:rFonts w:ascii="Arial" w:hAnsi="Arial" w:cs="Arial"/>
                    </w:rPr>
                  </w:pPr>
                  <w:r w:rsidRPr="00087AB5">
                    <w:rPr>
                      <w:rFonts w:ascii="Arial" w:hAnsi="Arial" w:cs="Arial"/>
                    </w:rPr>
                    <w:t>From the Journals</w:t>
                  </w:r>
                  <w:r w:rsidRPr="00087AB5">
                    <w:rPr>
                      <w:rFonts w:ascii="Arial" w:hAnsi="Arial" w:cs="Arial"/>
                    </w:rPr>
                    <w:tab/>
                  </w:r>
                  <w:r w:rsidR="003E7B10">
                    <w:rPr>
                      <w:rFonts w:ascii="Arial" w:hAnsi="Arial" w:cs="Arial"/>
                    </w:rPr>
                    <w:t>7</w:t>
                  </w:r>
                </w:p>
                <w:p w:rsidR="00320E82" w:rsidRPr="00087AB5" w:rsidRDefault="00320E82" w:rsidP="00320E82">
                  <w:pPr>
                    <w:pStyle w:val="ContentsList"/>
                    <w:spacing w:before="0" w:line="240" w:lineRule="auto"/>
                    <w:rPr>
                      <w:rFonts w:ascii="Arial" w:hAnsi="Arial" w:cs="Arial"/>
                    </w:rPr>
                  </w:pPr>
                  <w:r w:rsidRPr="00087AB5">
                    <w:rPr>
                      <w:rFonts w:ascii="Arial" w:hAnsi="Arial" w:cs="Arial"/>
                    </w:rPr>
                    <w:t xml:space="preserve">Regulatory Decisions </w:t>
                  </w:r>
                  <w:r>
                    <w:rPr>
                      <w:rFonts w:ascii="Arial" w:hAnsi="Arial" w:cs="Arial"/>
                    </w:rPr>
                    <w:t>in Australia</w:t>
                  </w:r>
                  <w:r>
                    <w:rPr>
                      <w:rFonts w:ascii="Arial" w:hAnsi="Arial" w:cs="Arial"/>
                    </w:rPr>
                    <w:tab/>
                  </w:r>
                  <w:r>
                    <w:rPr>
                      <w:rFonts w:ascii="Arial" w:hAnsi="Arial" w:cs="Arial"/>
                    </w:rPr>
                    <w:br/>
                    <w:t>and New Zealand</w:t>
                  </w:r>
                  <w:r>
                    <w:rPr>
                      <w:rFonts w:ascii="Arial" w:hAnsi="Arial" w:cs="Arial"/>
                    </w:rPr>
                    <w:tab/>
                  </w:r>
                  <w:r w:rsidR="003E7B10">
                    <w:rPr>
                      <w:rFonts w:ascii="Arial" w:hAnsi="Arial" w:cs="Arial"/>
                    </w:rPr>
                    <w:t>10</w:t>
                  </w:r>
                </w:p>
                <w:p w:rsidR="00320E82" w:rsidRPr="00087AB5" w:rsidRDefault="00320E82" w:rsidP="00320E82">
                  <w:pPr>
                    <w:pStyle w:val="ContentsList"/>
                    <w:spacing w:before="0" w:line="240" w:lineRule="auto"/>
                    <w:rPr>
                      <w:rFonts w:ascii="Arial" w:hAnsi="Arial" w:cs="Arial"/>
                    </w:rPr>
                  </w:pPr>
                  <w:r w:rsidRPr="00087AB5">
                    <w:rPr>
                      <w:rFonts w:ascii="Arial" w:hAnsi="Arial" w:cs="Arial"/>
                    </w:rPr>
                    <w:t>Notes on Interesting Decisions</w:t>
                  </w:r>
                  <w:r w:rsidRPr="00087AB5">
                    <w:rPr>
                      <w:rFonts w:ascii="Arial" w:hAnsi="Arial" w:cs="Arial"/>
                    </w:rPr>
                    <w:tab/>
                  </w:r>
                  <w:r w:rsidR="00BD4B67">
                    <w:rPr>
                      <w:rFonts w:ascii="Arial" w:hAnsi="Arial" w:cs="Arial"/>
                    </w:rPr>
                    <w:t>14</w:t>
                  </w:r>
                </w:p>
                <w:p w:rsidR="00320E82" w:rsidRPr="00E75614" w:rsidRDefault="00320E82" w:rsidP="00320E82">
                  <w:pPr>
                    <w:pStyle w:val="ContentsList"/>
                    <w:spacing w:before="0" w:line="240" w:lineRule="auto"/>
                    <w:rPr>
                      <w:rFonts w:ascii="Arial" w:hAnsi="Arial" w:cs="Arial"/>
                    </w:rPr>
                  </w:pPr>
                  <w:r w:rsidRPr="00087AB5">
                    <w:rPr>
                      <w:rFonts w:ascii="Arial" w:hAnsi="Arial" w:cs="Arial"/>
                    </w:rPr>
                    <w:t xml:space="preserve">Regulatory </w:t>
                  </w:r>
                  <w:r>
                    <w:rPr>
                      <w:rFonts w:ascii="Arial" w:hAnsi="Arial" w:cs="Arial"/>
                    </w:rPr>
                    <w:t>News</w:t>
                  </w:r>
                  <w:r>
                    <w:rPr>
                      <w:rFonts w:ascii="Arial" w:hAnsi="Arial" w:cs="Arial"/>
                    </w:rPr>
                    <w:tab/>
                  </w:r>
                  <w:r w:rsidR="00BD4B67">
                    <w:rPr>
                      <w:rFonts w:ascii="Arial" w:hAnsi="Arial" w:cs="Arial"/>
                    </w:rPr>
                    <w:t>16</w:t>
                  </w:r>
                </w:p>
              </w:txbxContent>
            </v:textbox>
          </v:shape>
        </w:pict>
      </w:r>
      <w:r w:rsidR="009549DB">
        <w:rPr>
          <w:rStyle w:val="Network-bodytext"/>
        </w:rPr>
        <w:br w:type="column"/>
      </w:r>
      <w:r w:rsidR="00F47366" w:rsidRPr="001F538E">
        <w:rPr>
          <w:rStyle w:val="Network-bodytext"/>
        </w:rPr>
        <w:lastRenderedPageBreak/>
        <w:t>Of course, regulators are quite properly bound by legal precedent – the reasons and principles applied by a court or tribunal in reaching a decision – where that doctrine ha</w:t>
      </w:r>
      <w:r w:rsidR="009549DB">
        <w:rPr>
          <w:rStyle w:val="Network-bodytext"/>
        </w:rPr>
        <w:t>s application.  By</w:t>
      </w:r>
      <w:r w:rsidR="00F47366" w:rsidRPr="001F538E">
        <w:rPr>
          <w:rStyle w:val="Network-bodytext"/>
        </w:rPr>
        <w:t xml:space="preserve"> simply making a regulatory decision in one way because, for example, another regulator, in another place at another time has made a decision that way, is apt to lead to error.</w:t>
      </w:r>
    </w:p>
    <w:p w:rsidR="00F47366" w:rsidRPr="001F538E" w:rsidRDefault="00F47366" w:rsidP="00F47366">
      <w:pPr>
        <w:rPr>
          <w:rStyle w:val="Network-bodytext"/>
        </w:rPr>
      </w:pPr>
      <w:r w:rsidRPr="001F538E">
        <w:rPr>
          <w:rStyle w:val="Network-bodytext"/>
        </w:rPr>
        <w:t>It is likely to fail to recognise the particular legal and policy framework, and the broader economic, social and environmental context, within which the regulatory decision is being made and, mostly importantly, may not best protect those who should properly be the focus of the regulator’s attention.</w:t>
      </w:r>
    </w:p>
    <w:p w:rsidR="00F47366" w:rsidRPr="00AC5DA4" w:rsidRDefault="00F47366" w:rsidP="00F47366">
      <w:pPr>
        <w:rPr>
          <w:rStyle w:val="Network-bodytext"/>
          <w:b/>
        </w:rPr>
      </w:pPr>
      <w:r w:rsidRPr="00AC5DA4">
        <w:rPr>
          <w:rStyle w:val="Network-bodytext"/>
          <w:b/>
        </w:rPr>
        <w:t>Whence precedent?</w:t>
      </w:r>
    </w:p>
    <w:p w:rsidR="00F47366" w:rsidRPr="00970521" w:rsidRDefault="00F47366" w:rsidP="00F47366">
      <w:pPr>
        <w:rPr>
          <w:rStyle w:val="Network-bodytext"/>
        </w:rPr>
      </w:pPr>
      <w:r w:rsidRPr="001F538E">
        <w:rPr>
          <w:rStyle w:val="Network-bodytext"/>
        </w:rPr>
        <w:t xml:space="preserve">The doctrine of </w:t>
      </w:r>
      <w:r w:rsidRPr="00385187">
        <w:rPr>
          <w:rStyle w:val="Network-bodytext"/>
          <w:i/>
        </w:rPr>
        <w:t>legal precedent</w:t>
      </w:r>
      <w:r w:rsidRPr="001F538E">
        <w:rPr>
          <w:rStyle w:val="Network-bodytext"/>
        </w:rPr>
        <w:t xml:space="preserve"> is a hallmark of the common law. </w:t>
      </w:r>
      <w:r w:rsidR="00493855">
        <w:rPr>
          <w:rStyle w:val="Network-bodytext"/>
        </w:rPr>
        <w:t xml:space="preserve"> </w:t>
      </w:r>
      <w:r w:rsidRPr="001F538E">
        <w:rPr>
          <w:rStyle w:val="Network-bodytext"/>
        </w:rPr>
        <w:t>It gives common law reasoning a distinctive quality, differentiating it from other forms of reasoning.</w:t>
      </w:r>
      <w:r w:rsidR="00493855">
        <w:rPr>
          <w:rStyle w:val="Network-bodytext"/>
        </w:rPr>
        <w:t xml:space="preserve"> </w:t>
      </w:r>
      <w:r w:rsidRPr="001F538E">
        <w:rPr>
          <w:rStyle w:val="Network-bodytext"/>
        </w:rPr>
        <w:t xml:space="preserve"> It attempts to strike a balance between stability and predictability in the law without imposing parochial inflexibility, allowing the broad contours of legal canon to be generally known and discoverable. </w:t>
      </w:r>
      <w:r w:rsidR="00493855">
        <w:rPr>
          <w:rStyle w:val="Network-bodytext"/>
        </w:rPr>
        <w:t xml:space="preserve"> </w:t>
      </w:r>
      <w:r w:rsidRPr="001F538E">
        <w:rPr>
          <w:rStyle w:val="Network-bodytext"/>
        </w:rPr>
        <w:t xml:space="preserve">The dependence of legal reasoning on argument by analogy is a by-product of adherence to precedent (Cross 1977 pp. 24-26). </w:t>
      </w:r>
      <w:r w:rsidR="00970521">
        <w:rPr>
          <w:rStyle w:val="Network-bodytext"/>
        </w:rPr>
        <w:t xml:space="preserve"> The doctrine incorporates the concept of </w:t>
      </w:r>
      <w:r w:rsidR="00970521">
        <w:rPr>
          <w:rStyle w:val="Network-bodytext"/>
          <w:i/>
        </w:rPr>
        <w:t>stare decisis</w:t>
      </w:r>
      <w:r w:rsidR="00970521">
        <w:rPr>
          <w:rStyle w:val="Network-bodytext"/>
        </w:rPr>
        <w:t xml:space="preserve"> (the decision stands): a court is bound to follow a previous decision of itself or a higher court.</w:t>
      </w:r>
    </w:p>
    <w:p w:rsidR="00F47366" w:rsidRPr="001F538E" w:rsidRDefault="00F47366" w:rsidP="00F47366">
      <w:pPr>
        <w:rPr>
          <w:rStyle w:val="Network-bodytext"/>
        </w:rPr>
      </w:pPr>
      <w:r w:rsidRPr="001F538E">
        <w:rPr>
          <w:rStyle w:val="Network-bodytext"/>
        </w:rPr>
        <w:t xml:space="preserve">The application of </w:t>
      </w:r>
      <w:r w:rsidRPr="00385187">
        <w:rPr>
          <w:rStyle w:val="Network-bodytext"/>
          <w:i/>
        </w:rPr>
        <w:t>legal precedent</w:t>
      </w:r>
      <w:r w:rsidRPr="001F538E">
        <w:rPr>
          <w:rStyle w:val="Network-bodytext"/>
        </w:rPr>
        <w:t xml:space="preserve"> requires a balancing of the need for continuity, consistency and predictability with the need for justice, flexibility and rationality. </w:t>
      </w:r>
      <w:r w:rsidR="00493855">
        <w:rPr>
          <w:rStyle w:val="Network-bodytext"/>
        </w:rPr>
        <w:t xml:space="preserve"> </w:t>
      </w:r>
      <w:r w:rsidRPr="001F538E">
        <w:rPr>
          <w:rStyle w:val="Network-bodytext"/>
        </w:rPr>
        <w:t>Courts are not bound by everything that is said in a prior judicial decision or by all of the judicial observations of a higher court.</w:t>
      </w:r>
      <w:r w:rsidR="00493855">
        <w:rPr>
          <w:rStyle w:val="Network-bodytext"/>
        </w:rPr>
        <w:t xml:space="preserve"> </w:t>
      </w:r>
      <w:r w:rsidRPr="001F538E">
        <w:rPr>
          <w:rStyle w:val="Network-bodytext"/>
        </w:rPr>
        <w:t xml:space="preserve"> What binds are the reasons for the decision (</w:t>
      </w:r>
      <w:r w:rsidRPr="00385187">
        <w:rPr>
          <w:rStyle w:val="Network-bodytext"/>
          <w:i/>
        </w:rPr>
        <w:t>ratio decidendi</w:t>
      </w:r>
      <w:r w:rsidRPr="001F538E">
        <w:rPr>
          <w:rStyle w:val="Network-bodytext"/>
        </w:rPr>
        <w:t>),</w:t>
      </w:r>
      <w:r w:rsidR="00AC5DA4">
        <w:rPr>
          <w:rStyle w:val="FootnoteReference"/>
          <w:color w:val="595959"/>
          <w:kern w:val="36"/>
        </w:rPr>
        <w:footnoteReference w:id="1"/>
      </w:r>
      <w:r w:rsidRPr="001F538E">
        <w:rPr>
          <w:rStyle w:val="Network-bodytext"/>
        </w:rPr>
        <w:t xml:space="preserve"> which is ascertained by analysing the decision of the judge or the judges of the majority.</w:t>
      </w:r>
      <w:r w:rsidR="00493855">
        <w:rPr>
          <w:rStyle w:val="Network-bodytext"/>
        </w:rPr>
        <w:t xml:space="preserve"> </w:t>
      </w:r>
      <w:r w:rsidRPr="001F538E">
        <w:rPr>
          <w:rStyle w:val="Network-bodytext"/>
        </w:rPr>
        <w:t xml:space="preserve"> The decision itself (or the ‘judgment’) is not at the forefront of that analysis:  it is the reasoning that is critical. </w:t>
      </w:r>
    </w:p>
    <w:p w:rsidR="00F47366" w:rsidRPr="001F538E" w:rsidRDefault="00F47366" w:rsidP="00F47366">
      <w:pPr>
        <w:rPr>
          <w:rStyle w:val="Network-bodytext"/>
        </w:rPr>
      </w:pPr>
      <w:r w:rsidRPr="00385187">
        <w:rPr>
          <w:rStyle w:val="Network-bodytext"/>
        </w:rPr>
        <w:t>Law, as an attribute</w:t>
      </w:r>
      <w:r w:rsidRPr="001F538E">
        <w:rPr>
          <w:rStyle w:val="Network-bodytext"/>
        </w:rPr>
        <w:t xml:space="preserve"> of the system of government in a free and democratic society, is always in a process of evolution.</w:t>
      </w:r>
      <w:r w:rsidR="00493855">
        <w:rPr>
          <w:rStyle w:val="Network-bodytext"/>
        </w:rPr>
        <w:t xml:space="preserve"> </w:t>
      </w:r>
      <w:r w:rsidRPr="001F538E">
        <w:rPr>
          <w:rStyle w:val="Network-bodytext"/>
        </w:rPr>
        <w:t xml:space="preserve"> Judges ultimately determine whether and under what circumstances a particular principle of legal precedent will apply. </w:t>
      </w:r>
      <w:r w:rsidR="00970521">
        <w:rPr>
          <w:rStyle w:val="Network-bodytext"/>
        </w:rPr>
        <w:t xml:space="preserve"> A court is not required to follow a prior decision, or to adopt prior reasons, which it is convinced are erroneous.</w:t>
      </w:r>
    </w:p>
    <w:p w:rsidR="00F47366" w:rsidRPr="001F538E" w:rsidRDefault="00F47366" w:rsidP="00F47366">
      <w:pPr>
        <w:rPr>
          <w:rStyle w:val="Network-bodytext"/>
        </w:rPr>
      </w:pPr>
      <w:r w:rsidRPr="001F538E">
        <w:rPr>
          <w:rStyle w:val="Network-bodytext"/>
        </w:rPr>
        <w:t xml:space="preserve">Justice Murphy articulated the risk of strictly following precedent, concluding that slavish obedience to precedence is </w:t>
      </w:r>
      <w:r w:rsidRPr="00385187">
        <w:rPr>
          <w:rStyle w:val="Network-bodytext"/>
          <w:i/>
        </w:rPr>
        <w:t xml:space="preserve">‘… eminently suitable for a nation </w:t>
      </w:r>
      <w:r w:rsidRPr="00385187">
        <w:rPr>
          <w:rStyle w:val="Network-bodytext"/>
          <w:i/>
        </w:rPr>
        <w:lastRenderedPageBreak/>
        <w:t>overwhelmingly populated by sheep’</w:t>
      </w:r>
      <w:r w:rsidRPr="001F538E">
        <w:rPr>
          <w:rStyle w:val="Network-bodytext"/>
        </w:rPr>
        <w:t xml:space="preserve"> (Murphy 1979 p. 5). </w:t>
      </w:r>
    </w:p>
    <w:p w:rsidR="00F47366" w:rsidRPr="00AC5DA4" w:rsidRDefault="00F47366" w:rsidP="00F47366">
      <w:pPr>
        <w:rPr>
          <w:rStyle w:val="Network-bodytext"/>
          <w:b/>
        </w:rPr>
      </w:pPr>
      <w:r w:rsidRPr="00AC5DA4">
        <w:rPr>
          <w:rStyle w:val="Network-bodytext"/>
          <w:b/>
        </w:rPr>
        <w:t>Every few hundred mil</w:t>
      </w:r>
      <w:r w:rsidR="00320E82" w:rsidRPr="00AC5DA4">
        <w:rPr>
          <w:rStyle w:val="Network-bodytext"/>
          <w:b/>
        </w:rPr>
        <w:t>lennia, evolution leaps forward</w:t>
      </w:r>
      <w:r w:rsidR="00AC5DA4">
        <w:rPr>
          <w:rStyle w:val="FootnoteReference"/>
          <w:b/>
          <w:color w:val="595959"/>
          <w:kern w:val="36"/>
        </w:rPr>
        <w:footnoteReference w:id="2"/>
      </w:r>
    </w:p>
    <w:p w:rsidR="00F47366" w:rsidRPr="001F538E" w:rsidRDefault="00F47366" w:rsidP="00F47366">
      <w:pPr>
        <w:rPr>
          <w:rStyle w:val="Network-bodytext"/>
        </w:rPr>
      </w:pPr>
      <w:r w:rsidRPr="001F538E">
        <w:rPr>
          <w:rStyle w:val="Network-bodytext"/>
        </w:rPr>
        <w:t xml:space="preserve">Economic regulators in Australia are presently facing, and seeking solutions to, problems not faced and perhaps not even contemplated by their predecessors. </w:t>
      </w:r>
    </w:p>
    <w:p w:rsidR="00F47366" w:rsidRPr="001F538E" w:rsidRDefault="00F47366" w:rsidP="00F47366">
      <w:pPr>
        <w:rPr>
          <w:rStyle w:val="Network-bodytext"/>
        </w:rPr>
      </w:pPr>
      <w:r w:rsidRPr="001F538E">
        <w:rPr>
          <w:rStyle w:val="Network-bodytext"/>
        </w:rPr>
        <w:t>In that light, an appropriation of a strict doctrine of precedent into the realm of economic regulation may foreclose the evolutionary thought and practices needed to address the new problems being faced. It may fetter economic regulators by requiring strict adherence to past decisions, even where new situations do not warrant application of those decisions.</w:t>
      </w:r>
    </w:p>
    <w:p w:rsidR="00F47366" w:rsidRPr="001F538E" w:rsidRDefault="00F47366" w:rsidP="00F47366">
      <w:pPr>
        <w:rPr>
          <w:rStyle w:val="Network-bodytext"/>
        </w:rPr>
      </w:pPr>
      <w:r w:rsidRPr="001F538E">
        <w:rPr>
          <w:rStyle w:val="Network-bodytext"/>
        </w:rPr>
        <w:t xml:space="preserve">At the same time, however, no one could sensibly deny that economic regulation has adopted, and should continue to absorb, the general approach found in the law: the balance between the need for continuity, consistency and predictability and the need for fairness, flexibility and rationality in decision-making. </w:t>
      </w:r>
    </w:p>
    <w:p w:rsidR="00F47366" w:rsidRPr="001F538E" w:rsidRDefault="00F47366" w:rsidP="00F47366">
      <w:pPr>
        <w:rPr>
          <w:rStyle w:val="Network-bodytext"/>
        </w:rPr>
      </w:pPr>
      <w:r w:rsidRPr="001F538E">
        <w:rPr>
          <w:rStyle w:val="Network-bodytext"/>
        </w:rPr>
        <w:t xml:space="preserve">That balancing approach reflects the wider needs and expectations of the community. </w:t>
      </w:r>
    </w:p>
    <w:p w:rsidR="00F47366" w:rsidRPr="001F538E" w:rsidRDefault="00F47366" w:rsidP="00F47366">
      <w:pPr>
        <w:rPr>
          <w:rStyle w:val="Network-bodytext"/>
        </w:rPr>
      </w:pPr>
      <w:r w:rsidRPr="001F538E">
        <w:rPr>
          <w:rStyle w:val="Network-bodytext"/>
        </w:rPr>
        <w:t xml:space="preserve">The idea that ‘Well, </w:t>
      </w:r>
      <w:r w:rsidRPr="00385187">
        <w:rPr>
          <w:rStyle w:val="Network-bodytext"/>
          <w:i/>
        </w:rPr>
        <w:t>when my information changes, I change my mind. What do you do?</w:t>
      </w:r>
      <w:r w:rsidRPr="001F538E">
        <w:rPr>
          <w:rStyle w:val="Network-bodytext"/>
        </w:rPr>
        <w:t xml:space="preserve">’ (Samuelson 1970) is probably of more value to a regulator than is simple application of a prior decision due to an overly strong reliance on </w:t>
      </w:r>
      <w:r w:rsidRPr="00385187">
        <w:rPr>
          <w:rStyle w:val="Network-bodytext"/>
          <w:i/>
        </w:rPr>
        <w:t>regulatory precedent</w:t>
      </w:r>
      <w:r w:rsidRPr="001F538E">
        <w:rPr>
          <w:rStyle w:val="Network-bodytext"/>
        </w:rPr>
        <w:t>.</w:t>
      </w:r>
    </w:p>
    <w:p w:rsidR="00F47366" w:rsidRPr="00AC5DA4" w:rsidRDefault="00F47366" w:rsidP="00F47366">
      <w:pPr>
        <w:rPr>
          <w:rStyle w:val="Network-bodytext"/>
          <w:b/>
        </w:rPr>
      </w:pPr>
      <w:r w:rsidRPr="00AC5DA4">
        <w:rPr>
          <w:rStyle w:val="Network-bodytext"/>
          <w:b/>
        </w:rPr>
        <w:t>If not regulatory prece</w:t>
      </w:r>
      <w:r w:rsidR="00320E82" w:rsidRPr="00AC5DA4">
        <w:rPr>
          <w:rStyle w:val="Network-bodytext"/>
          <w:b/>
        </w:rPr>
        <w:t>dent then what?</w:t>
      </w:r>
    </w:p>
    <w:p w:rsidR="00F47366" w:rsidRPr="001F538E" w:rsidRDefault="00F47366" w:rsidP="00F47366">
      <w:pPr>
        <w:rPr>
          <w:rStyle w:val="Network-bodytext"/>
        </w:rPr>
      </w:pPr>
      <w:r w:rsidRPr="001F538E">
        <w:rPr>
          <w:rStyle w:val="Network-bodytext"/>
        </w:rPr>
        <w:t xml:space="preserve">Regulators, when all else is stripped away, are problem-solvers. </w:t>
      </w:r>
    </w:p>
    <w:p w:rsidR="00F47366" w:rsidRPr="001F538E" w:rsidRDefault="00F47366" w:rsidP="00F47366">
      <w:pPr>
        <w:rPr>
          <w:rStyle w:val="Network-bodytext"/>
        </w:rPr>
      </w:pPr>
      <w:r w:rsidRPr="001F538E">
        <w:rPr>
          <w:rStyle w:val="Network-bodytext"/>
        </w:rPr>
        <w:t xml:space="preserve">To be a good problem-solver, a regulator takes the problem at hand and applies theories and practices within an overarching legal and policy framework, to make meaning and find solutions. </w:t>
      </w:r>
    </w:p>
    <w:p w:rsidR="00F47366" w:rsidRPr="001F538E" w:rsidRDefault="00F47366" w:rsidP="00F47366">
      <w:pPr>
        <w:rPr>
          <w:rStyle w:val="Network-bodytext"/>
        </w:rPr>
      </w:pPr>
      <w:r w:rsidRPr="001F538E">
        <w:rPr>
          <w:rStyle w:val="Network-bodytext"/>
        </w:rPr>
        <w:t>Economic regulators are no different.</w:t>
      </w:r>
      <w:r w:rsidR="00493855">
        <w:rPr>
          <w:rStyle w:val="Network-bodytext"/>
        </w:rPr>
        <w:t xml:space="preserve"> </w:t>
      </w:r>
      <w:r w:rsidRPr="001F538E">
        <w:rPr>
          <w:rStyle w:val="Network-bodytext"/>
        </w:rPr>
        <w:t xml:space="preserve"> Economics is a theory-based discipline and theories should and must be tested through the application of data. </w:t>
      </w:r>
      <w:r w:rsidR="00493855">
        <w:rPr>
          <w:rStyle w:val="Network-bodytext"/>
        </w:rPr>
        <w:t xml:space="preserve"> </w:t>
      </w:r>
      <w:r w:rsidRPr="001F538E">
        <w:rPr>
          <w:rStyle w:val="Network-bodytext"/>
        </w:rPr>
        <w:t xml:space="preserve">With new data and scenarios, theories can be found wanting; requiring change, or displacement and substitution by new theories. </w:t>
      </w:r>
    </w:p>
    <w:p w:rsidR="00F47366" w:rsidRPr="001F538E" w:rsidRDefault="00F47366" w:rsidP="00F47366">
      <w:pPr>
        <w:rPr>
          <w:rStyle w:val="Network-bodytext"/>
        </w:rPr>
      </w:pPr>
      <w:r w:rsidRPr="001F538E">
        <w:rPr>
          <w:rStyle w:val="Network-bodytext"/>
        </w:rPr>
        <w:t xml:space="preserve">To be most effective, economic regulation needs regulators to respond to unforeseen risk drivers; for example, the impact of depressed equity markets, droughts, catastrophic bushfires, cyclones or community or shareholder demands. </w:t>
      </w:r>
    </w:p>
    <w:p w:rsidR="00F47366" w:rsidRPr="001F538E" w:rsidRDefault="00F47366" w:rsidP="00F47366">
      <w:pPr>
        <w:rPr>
          <w:rStyle w:val="Network-bodytext"/>
        </w:rPr>
      </w:pPr>
      <w:r w:rsidRPr="001F538E">
        <w:rPr>
          <w:rStyle w:val="Network-bodytext"/>
        </w:rPr>
        <w:lastRenderedPageBreak/>
        <w:t xml:space="preserve">As a general proposition, this requires evolution, not revolution. </w:t>
      </w:r>
    </w:p>
    <w:p w:rsidR="00F47366" w:rsidRPr="001F538E" w:rsidRDefault="00F47366" w:rsidP="00F47366">
      <w:pPr>
        <w:rPr>
          <w:rStyle w:val="Network-bodytext"/>
        </w:rPr>
      </w:pPr>
      <w:r w:rsidRPr="001F538E">
        <w:rPr>
          <w:rStyle w:val="Network-bodytext"/>
        </w:rPr>
        <w:t>Evolution requires problem-solving agility, an ability to learn from the past and to adapt to changing circumstances.</w:t>
      </w:r>
      <w:r w:rsidR="00493855">
        <w:rPr>
          <w:rStyle w:val="Network-bodytext"/>
        </w:rPr>
        <w:t xml:space="preserve"> </w:t>
      </w:r>
      <w:r w:rsidRPr="001F538E">
        <w:rPr>
          <w:rStyle w:val="Network-bodytext"/>
        </w:rPr>
        <w:t xml:space="preserve"> It also needs a framework that does not bind the regulator to past decisions or decisions of others with no regard for the unique circumstances faced by that regulator.</w:t>
      </w:r>
    </w:p>
    <w:p w:rsidR="00F47366" w:rsidRPr="001F538E" w:rsidRDefault="00F47366" w:rsidP="00F47366">
      <w:pPr>
        <w:rPr>
          <w:rStyle w:val="Network-bodytext"/>
        </w:rPr>
      </w:pPr>
      <w:r w:rsidRPr="001F538E">
        <w:rPr>
          <w:rStyle w:val="Network-bodytext"/>
        </w:rPr>
        <w:t xml:space="preserve">If a regulatory solution designed to deal with problem A is applied to problem B without critical thought (what are the facts and circumstances of problem B?; what is problem B’s context?) then the application of a theory or way of approaching the problem is no more than a blind and uninformed choice. </w:t>
      </w:r>
    </w:p>
    <w:p w:rsidR="00F47366" w:rsidRPr="001F538E" w:rsidRDefault="00F47366" w:rsidP="00F47366">
      <w:pPr>
        <w:rPr>
          <w:rStyle w:val="Network-bodytext"/>
        </w:rPr>
      </w:pPr>
      <w:r w:rsidRPr="001F538E">
        <w:rPr>
          <w:rStyle w:val="Network-bodytext"/>
        </w:rPr>
        <w:t>The outcome of such a process is unlikely to be a useful or efficient response to the problem at hand, detracting from the primary purpose of economic regulation.</w:t>
      </w:r>
    </w:p>
    <w:p w:rsidR="00F47366" w:rsidRPr="001F538E" w:rsidRDefault="00F47366" w:rsidP="00F47366">
      <w:pPr>
        <w:rPr>
          <w:rStyle w:val="Network-bodytext"/>
        </w:rPr>
      </w:pPr>
      <w:r w:rsidRPr="001F538E">
        <w:rPr>
          <w:rStyle w:val="Network-bodytext"/>
        </w:rPr>
        <w:t xml:space="preserve">This implies that a narrow and strict conception of </w:t>
      </w:r>
      <w:r w:rsidRPr="00385187">
        <w:rPr>
          <w:rStyle w:val="Network-bodytext"/>
          <w:i/>
        </w:rPr>
        <w:t>regulatory precedent</w:t>
      </w:r>
      <w:r w:rsidRPr="001F538E">
        <w:rPr>
          <w:rStyle w:val="Network-bodytext"/>
        </w:rPr>
        <w:t xml:space="preserve"> ought to give way to the broader concept of </w:t>
      </w:r>
      <w:r w:rsidRPr="007E1757">
        <w:rPr>
          <w:rStyle w:val="Network-bodytext"/>
          <w:i/>
        </w:rPr>
        <w:t>regulatory practice</w:t>
      </w:r>
      <w:r w:rsidRPr="001F538E">
        <w:rPr>
          <w:rStyle w:val="Network-bodytext"/>
        </w:rPr>
        <w:t xml:space="preserve">. </w:t>
      </w:r>
      <w:r w:rsidR="00493855">
        <w:rPr>
          <w:rStyle w:val="Network-bodytext"/>
        </w:rPr>
        <w:t xml:space="preserve"> </w:t>
      </w:r>
      <w:r w:rsidRPr="001F538E">
        <w:rPr>
          <w:rStyle w:val="Network-bodytext"/>
        </w:rPr>
        <w:t xml:space="preserve">A clear distinction between these two concepts needs to be drawn and brought to the attention of regulators, the regulated, law makers and policy makers. </w:t>
      </w:r>
    </w:p>
    <w:p w:rsidR="00F47366" w:rsidRPr="001F538E" w:rsidRDefault="00F47366" w:rsidP="00F47366">
      <w:pPr>
        <w:rPr>
          <w:rStyle w:val="Network-bodytext"/>
        </w:rPr>
      </w:pPr>
      <w:r w:rsidRPr="001F538E">
        <w:rPr>
          <w:rStyle w:val="Network-bodytext"/>
        </w:rPr>
        <w:t xml:space="preserve">This would not mean that the goals of consistency and predictability cannot be achieved. </w:t>
      </w:r>
      <w:r w:rsidR="00493855">
        <w:rPr>
          <w:rStyle w:val="Network-bodytext"/>
        </w:rPr>
        <w:t xml:space="preserve"> </w:t>
      </w:r>
      <w:r w:rsidRPr="001F538E">
        <w:rPr>
          <w:rStyle w:val="Network-bodytext"/>
        </w:rPr>
        <w:t>Consistency and predictability does not have to mean recycling the same reasoning and outcome regardless of the specifics of the problem at hand.</w:t>
      </w:r>
      <w:r w:rsidR="00493855">
        <w:rPr>
          <w:rStyle w:val="Network-bodytext"/>
        </w:rPr>
        <w:t xml:space="preserve"> </w:t>
      </w:r>
      <w:r w:rsidRPr="001F538E">
        <w:rPr>
          <w:rStyle w:val="Network-bodytext"/>
        </w:rPr>
        <w:t xml:space="preserve"> A regulator can be consistent in its open and transparent approach, consistent and predictable in its professional dealings and committed to delivering solutions to the problem at hand. </w:t>
      </w:r>
      <w:r w:rsidR="00493855">
        <w:rPr>
          <w:rStyle w:val="Network-bodytext"/>
        </w:rPr>
        <w:t xml:space="preserve"> </w:t>
      </w:r>
      <w:r w:rsidRPr="001F538E">
        <w:rPr>
          <w:rStyle w:val="Network-bodytext"/>
        </w:rPr>
        <w:t>It does not need to be bound by precedent in doing so, all of those matters are matters of practice.</w:t>
      </w:r>
    </w:p>
    <w:p w:rsidR="00F47366" w:rsidRPr="001F538E" w:rsidRDefault="00F47366" w:rsidP="00F47366">
      <w:pPr>
        <w:rPr>
          <w:rStyle w:val="Network-bodytext"/>
        </w:rPr>
      </w:pPr>
      <w:r w:rsidRPr="001F538E">
        <w:rPr>
          <w:rStyle w:val="Network-bodytext"/>
        </w:rPr>
        <w:t>It is imperative, if regulation is to evolve as it needs to, that economic regulators remain ever vigilant of the creep of regulatory languor.</w:t>
      </w:r>
      <w:r w:rsidR="00493855">
        <w:rPr>
          <w:rStyle w:val="Network-bodytext"/>
        </w:rPr>
        <w:t xml:space="preserve"> </w:t>
      </w:r>
      <w:r w:rsidRPr="001F538E">
        <w:rPr>
          <w:rStyle w:val="Network-bodytext"/>
        </w:rPr>
        <w:t xml:space="preserve"> Regulation is a construct of human agency, and </w:t>
      </w:r>
      <w:r w:rsidRPr="007E1757">
        <w:rPr>
          <w:rStyle w:val="Network-bodytext"/>
          <w:i/>
        </w:rPr>
        <w:t xml:space="preserve">‘human agency is subject to investigation and analysis, which it is the mission of understanding to apprehend, criticise, influence and judge. </w:t>
      </w:r>
      <w:r w:rsidR="00493855" w:rsidRPr="007E1757">
        <w:rPr>
          <w:rStyle w:val="Network-bodytext"/>
          <w:i/>
        </w:rPr>
        <w:t xml:space="preserve"> </w:t>
      </w:r>
      <w:r w:rsidRPr="007E1757">
        <w:rPr>
          <w:rStyle w:val="Network-bodytext"/>
          <w:i/>
        </w:rPr>
        <w:t>Above all, critical thought does not submit to state power or to commands to join the ranks marching against one or another approved enemy’</w:t>
      </w:r>
      <w:r w:rsidRPr="001F538E">
        <w:rPr>
          <w:rStyle w:val="Network-bodytext"/>
        </w:rPr>
        <w:t xml:space="preserve"> (Said 1978 p. xxii). </w:t>
      </w:r>
    </w:p>
    <w:p w:rsidR="00F47366" w:rsidRPr="001F538E" w:rsidRDefault="00F47366" w:rsidP="00F47366">
      <w:pPr>
        <w:rPr>
          <w:rStyle w:val="Network-bodytext"/>
        </w:rPr>
      </w:pPr>
      <w:r w:rsidRPr="001F538E">
        <w:rPr>
          <w:rStyle w:val="Network-bodytext"/>
        </w:rPr>
        <w:t xml:space="preserve">If economic regulators apply theories and practices used in previous decisions to address a different set of facts and problems, they may be signalling that they are no longer effective problem-solvers. </w:t>
      </w:r>
    </w:p>
    <w:p w:rsidR="00F47366" w:rsidRPr="001F538E" w:rsidRDefault="00F47366" w:rsidP="00F47366">
      <w:pPr>
        <w:rPr>
          <w:rStyle w:val="Network-bodytext"/>
        </w:rPr>
      </w:pPr>
      <w:r w:rsidRPr="001F538E">
        <w:rPr>
          <w:rStyle w:val="Network-bodytext"/>
        </w:rPr>
        <w:t xml:space="preserve">The concept of regulatory practice is, therefore, most likely the proper descriptor of what those who use the term regulatory precedent truly mean (or are attempting to describe) as they search for </w:t>
      </w:r>
      <w:r w:rsidRPr="001F538E">
        <w:rPr>
          <w:rStyle w:val="Network-bodytext"/>
        </w:rPr>
        <w:lastRenderedPageBreak/>
        <w:t xml:space="preserve">predictability, flexibility, responsiveness and validity in decision-making. </w:t>
      </w:r>
    </w:p>
    <w:p w:rsidR="00F47366" w:rsidRPr="001F538E" w:rsidRDefault="00F47366" w:rsidP="00F47366">
      <w:pPr>
        <w:rPr>
          <w:rStyle w:val="Network-bodytext"/>
        </w:rPr>
      </w:pPr>
      <w:r w:rsidRPr="007E1757">
        <w:rPr>
          <w:rStyle w:val="Network-bodytext"/>
          <w:i/>
        </w:rPr>
        <w:t>Regulatory practice</w:t>
      </w:r>
      <w:r w:rsidRPr="001F538E">
        <w:rPr>
          <w:rStyle w:val="Network-bodytext"/>
        </w:rPr>
        <w:t xml:space="preserve"> is about building on the lessons of the past to create solutions for the current problem. </w:t>
      </w:r>
      <w:r w:rsidR="00493855">
        <w:rPr>
          <w:rStyle w:val="Network-bodytext"/>
        </w:rPr>
        <w:t xml:space="preserve"> </w:t>
      </w:r>
      <w:r w:rsidRPr="00DB3186">
        <w:rPr>
          <w:rStyle w:val="Network-bodytext"/>
          <w:i/>
        </w:rPr>
        <w:t>Regulatory practice</w:t>
      </w:r>
      <w:r w:rsidRPr="001F538E">
        <w:rPr>
          <w:rStyle w:val="Network-bodytext"/>
        </w:rPr>
        <w:t xml:space="preserve"> is about improving solutions with the regulatory tools at hand – perhaps (Winston Churchill): </w:t>
      </w:r>
      <w:r w:rsidRPr="00DB3186">
        <w:rPr>
          <w:rStyle w:val="Network-bodytext"/>
          <w:i/>
        </w:rPr>
        <w:t>‘to improve is to change, so to be perfect is to change often’</w:t>
      </w:r>
      <w:r w:rsidRPr="001F538E">
        <w:rPr>
          <w:rStyle w:val="Network-bodytext"/>
        </w:rPr>
        <w:t xml:space="preserve"> (James 1973 p. 3706).</w:t>
      </w:r>
      <w:r w:rsidR="00493855">
        <w:rPr>
          <w:rStyle w:val="Network-bodytext"/>
        </w:rPr>
        <w:t xml:space="preserve"> </w:t>
      </w:r>
      <w:r w:rsidRPr="001F538E">
        <w:rPr>
          <w:rStyle w:val="Network-bodytext"/>
        </w:rPr>
        <w:t xml:space="preserve"> The evolutionary nature of regulatory practice denotes a discipline that is responsive and reflexive. </w:t>
      </w:r>
    </w:p>
    <w:p w:rsidR="00F47366" w:rsidRPr="00AC5DA4" w:rsidRDefault="00F47366" w:rsidP="00F47366">
      <w:pPr>
        <w:rPr>
          <w:rStyle w:val="Network-bodytext"/>
          <w:b/>
        </w:rPr>
      </w:pPr>
      <w:r w:rsidRPr="00AC5DA4">
        <w:rPr>
          <w:rStyle w:val="Network-bodytext"/>
          <w:b/>
        </w:rPr>
        <w:t>What does this mean, in practice?</w:t>
      </w:r>
    </w:p>
    <w:p w:rsidR="00F47366" w:rsidRPr="001F538E" w:rsidRDefault="00F47366" w:rsidP="00F47366">
      <w:pPr>
        <w:rPr>
          <w:rStyle w:val="Network-bodytext"/>
        </w:rPr>
      </w:pPr>
      <w:r w:rsidRPr="001F538E">
        <w:rPr>
          <w:rStyle w:val="Network-bodytext"/>
        </w:rPr>
        <w:t>However seductive or easy it might seem to think otherwise – the view that the problem posed above is a distinction without a difference – the issue here is not simply one of semantics.</w:t>
      </w:r>
    </w:p>
    <w:p w:rsidR="00F47366" w:rsidRPr="001F538E" w:rsidRDefault="00F47366" w:rsidP="00F47366">
      <w:pPr>
        <w:rPr>
          <w:rStyle w:val="Network-bodytext"/>
        </w:rPr>
      </w:pPr>
      <w:r w:rsidRPr="001F538E">
        <w:rPr>
          <w:rStyle w:val="Network-bodytext"/>
        </w:rPr>
        <w:t xml:space="preserve">Let us assume that, in performing its statutory regulatory functions, an economic regulator is required under its empowering Act to, amongst other things, have regard to </w:t>
      </w:r>
      <w:r w:rsidRPr="00DB3186">
        <w:rPr>
          <w:rStyle w:val="Network-bodytext"/>
          <w:i/>
        </w:rPr>
        <w:t>the need to promote consistency in regulation with other jurisdictions</w:t>
      </w:r>
      <w:r w:rsidRPr="001F538E">
        <w:rPr>
          <w:rStyle w:val="Network-bodytext"/>
        </w:rPr>
        <w:t xml:space="preserve">. </w:t>
      </w:r>
    </w:p>
    <w:p w:rsidR="00F47366" w:rsidRPr="001F538E" w:rsidRDefault="00F47366" w:rsidP="00F47366">
      <w:pPr>
        <w:rPr>
          <w:rStyle w:val="Network-bodytext"/>
        </w:rPr>
      </w:pPr>
      <w:r w:rsidRPr="001F538E">
        <w:rPr>
          <w:rStyle w:val="Network-bodytext"/>
        </w:rPr>
        <w:t xml:space="preserve">Of course, in this example the Act says no more than ‘promote consistency’; it does not say ‘apply precedent’. </w:t>
      </w:r>
      <w:r w:rsidR="00493855">
        <w:rPr>
          <w:rStyle w:val="Network-bodytext"/>
        </w:rPr>
        <w:t xml:space="preserve"> </w:t>
      </w:r>
      <w:r w:rsidRPr="001F538E">
        <w:rPr>
          <w:rStyle w:val="Network-bodytext"/>
        </w:rPr>
        <w:t>However, if those words were to be given a liberal and arguably unwarranted meaning in a regulatory process – if a party (be it the regulator itself or another stakeholder) were to argue that those words somehow drew out legal concepts of precedent – then the following areas at the very least would need to be settled:</w:t>
      </w:r>
    </w:p>
    <w:p w:rsidR="00F47366" w:rsidRPr="00493855" w:rsidRDefault="00F47366" w:rsidP="00493855">
      <w:pPr>
        <w:numPr>
          <w:ilvl w:val="0"/>
          <w:numId w:val="38"/>
        </w:numPr>
        <w:ind w:left="284" w:hanging="218"/>
        <w:rPr>
          <w:rStyle w:val="Network-bodytext"/>
        </w:rPr>
      </w:pPr>
      <w:r w:rsidRPr="00493855">
        <w:rPr>
          <w:rStyle w:val="Network-bodytext"/>
        </w:rPr>
        <w:t>Define ‘promote’: is the regulator the principal or agent?</w:t>
      </w:r>
    </w:p>
    <w:p w:rsidR="00F47366" w:rsidRPr="00493855" w:rsidRDefault="00F47366" w:rsidP="00493855">
      <w:pPr>
        <w:numPr>
          <w:ilvl w:val="0"/>
          <w:numId w:val="38"/>
        </w:numPr>
        <w:ind w:left="284" w:hanging="218"/>
        <w:rPr>
          <w:rStyle w:val="Network-bodytext"/>
        </w:rPr>
      </w:pPr>
      <w:r w:rsidRPr="00493855">
        <w:rPr>
          <w:rStyle w:val="Network-bodytext"/>
        </w:rPr>
        <w:t xml:space="preserve">Define ‘consistency’. </w:t>
      </w:r>
      <w:r w:rsidR="00493855">
        <w:rPr>
          <w:rStyle w:val="Network-bodytext"/>
        </w:rPr>
        <w:t xml:space="preserve"> </w:t>
      </w:r>
      <w:r w:rsidRPr="00493855">
        <w:rPr>
          <w:rStyle w:val="Network-bodytext"/>
        </w:rPr>
        <w:t>The ordinary meaning of ‘consistency’ (</w:t>
      </w:r>
      <w:r w:rsidRPr="00DB3186">
        <w:rPr>
          <w:rStyle w:val="Network-bodytext"/>
          <w:i/>
        </w:rPr>
        <w:t>Oxford Dictionar</w:t>
      </w:r>
      <w:r w:rsidR="006734B4">
        <w:rPr>
          <w:rStyle w:val="Network-bodytext"/>
          <w:i/>
        </w:rPr>
        <w:t>ies</w:t>
      </w:r>
      <w:r w:rsidRPr="00493855">
        <w:rPr>
          <w:rStyle w:val="Network-bodytext"/>
        </w:rPr>
        <w:t xml:space="preserve">) is: </w:t>
      </w:r>
      <w:r w:rsidRPr="00DB3186">
        <w:rPr>
          <w:rStyle w:val="Network-bodytext"/>
          <w:i/>
        </w:rPr>
        <w:t>‘the quality of always behaving in the same way or having the same opinions, standard, etc.’.</w:t>
      </w:r>
      <w:r w:rsidRPr="00493855">
        <w:rPr>
          <w:rStyle w:val="Network-bodytext"/>
        </w:rPr>
        <w:t xml:space="preserve">  Does local regulatory practice/approach and outcome have to be same as in all other states and territories or globally?</w:t>
      </w:r>
    </w:p>
    <w:p w:rsidR="00F47366" w:rsidRPr="00493855" w:rsidRDefault="00F47366" w:rsidP="00493855">
      <w:pPr>
        <w:numPr>
          <w:ilvl w:val="0"/>
          <w:numId w:val="38"/>
        </w:numPr>
        <w:ind w:left="284" w:hanging="218"/>
        <w:rPr>
          <w:rStyle w:val="Network-bodytext"/>
        </w:rPr>
      </w:pPr>
      <w:r w:rsidRPr="00493855">
        <w:rPr>
          <w:rStyle w:val="Network-bodytext"/>
        </w:rPr>
        <w:t>Ascertain which functions the legislature intended – all functions, regulatory functions only or administrative functions.</w:t>
      </w:r>
    </w:p>
    <w:p w:rsidR="00F47366" w:rsidRPr="001F538E" w:rsidRDefault="00F47366" w:rsidP="00493855">
      <w:pPr>
        <w:numPr>
          <w:ilvl w:val="0"/>
          <w:numId w:val="38"/>
        </w:numPr>
        <w:ind w:left="284" w:hanging="218"/>
        <w:rPr>
          <w:rStyle w:val="Network-bodytext"/>
        </w:rPr>
      </w:pPr>
      <w:r w:rsidRPr="00493855">
        <w:rPr>
          <w:rStyle w:val="Network-bodytext"/>
        </w:rPr>
        <w:t>Define ‘other jurisdictions’.</w:t>
      </w:r>
    </w:p>
    <w:p w:rsidR="00F47366" w:rsidRPr="001F538E" w:rsidRDefault="00F47366" w:rsidP="00F47366">
      <w:pPr>
        <w:rPr>
          <w:rStyle w:val="Network-bodytext"/>
        </w:rPr>
      </w:pPr>
      <w:r w:rsidRPr="001F538E">
        <w:rPr>
          <w:rStyle w:val="Network-bodytext"/>
        </w:rPr>
        <w:t xml:space="preserve">Let us presume for the sake of the example that all of these matters noted above have been settled, as explained in the following paragraph, and that the regulator has made those settled positions known as the </w:t>
      </w:r>
      <w:r w:rsidRPr="00DB3186">
        <w:rPr>
          <w:rStyle w:val="Network-bodytext"/>
          <w:i/>
        </w:rPr>
        <w:t>regulatory precedents</w:t>
      </w:r>
      <w:r w:rsidRPr="001F538E">
        <w:rPr>
          <w:rStyle w:val="Network-bodytext"/>
        </w:rPr>
        <w:t xml:space="preserve"> which will apply. </w:t>
      </w:r>
    </w:p>
    <w:p w:rsidR="00F47366" w:rsidRPr="001F538E" w:rsidRDefault="00F47366" w:rsidP="00F47366">
      <w:pPr>
        <w:rPr>
          <w:rStyle w:val="Network-bodytext"/>
        </w:rPr>
      </w:pPr>
      <w:r w:rsidRPr="001F538E">
        <w:rPr>
          <w:rStyle w:val="Network-bodytext"/>
        </w:rPr>
        <w:t xml:space="preserve">Through custom and practice, ‘promote’ is to mean that the regulator is both principal and agent (that is, both actor and subject); that, in being consistent, the regulator has been and will be consistent with, say, </w:t>
      </w:r>
      <w:r w:rsidRPr="001F538E">
        <w:rPr>
          <w:rStyle w:val="Network-bodytext"/>
        </w:rPr>
        <w:lastRenderedPageBreak/>
        <w:t xml:space="preserve">the Nigerian regulatory approach in relation to water utilities, South African regulators in relation to telecommunications and energy, Guatemalan regulators in relation to postal services and the Liechtenstein regulators in relation to rail. </w:t>
      </w:r>
      <w:r w:rsidR="00493855">
        <w:rPr>
          <w:rStyle w:val="Network-bodytext"/>
        </w:rPr>
        <w:t xml:space="preserve"> </w:t>
      </w:r>
      <w:r w:rsidRPr="001F538E">
        <w:rPr>
          <w:rStyle w:val="Network-bodytext"/>
        </w:rPr>
        <w:t xml:space="preserve">Finally, the regulator has through custom and practice interpreted ‘its functions’ to denote all of its functions. </w:t>
      </w:r>
    </w:p>
    <w:p w:rsidR="00F47366" w:rsidRPr="001F538E" w:rsidRDefault="00F47366" w:rsidP="00F47366">
      <w:pPr>
        <w:rPr>
          <w:rStyle w:val="Network-bodytext"/>
        </w:rPr>
      </w:pPr>
      <w:r w:rsidRPr="001F538E">
        <w:rPr>
          <w:rStyle w:val="Network-bodytext"/>
        </w:rPr>
        <w:t xml:space="preserve">Now let us assume that the regulator is to make a new determination in relation to a matter for which it has made a previous determination. </w:t>
      </w:r>
      <w:r w:rsidR="00493855">
        <w:rPr>
          <w:rStyle w:val="Network-bodytext"/>
        </w:rPr>
        <w:t xml:space="preserve"> </w:t>
      </w:r>
      <w:r w:rsidRPr="001F538E">
        <w:rPr>
          <w:rStyle w:val="Network-bodytext"/>
        </w:rPr>
        <w:t xml:space="preserve">That previous determination was based on the foregoing customs and practices. </w:t>
      </w:r>
    </w:p>
    <w:p w:rsidR="00F47366" w:rsidRPr="001F538E" w:rsidRDefault="00F47366" w:rsidP="00F47366">
      <w:pPr>
        <w:rPr>
          <w:rStyle w:val="Network-bodytext"/>
        </w:rPr>
      </w:pPr>
      <w:r w:rsidRPr="001F538E">
        <w:rPr>
          <w:rStyle w:val="Network-bodytext"/>
        </w:rPr>
        <w:t xml:space="preserve">In preparing for the new determination, the regulator and its staff quite properly begin to consider other approaches (through research and application of economic theory), newly arising circumstances in its jurisdiction and other matters arising (for example, through public engagement and consultations). </w:t>
      </w:r>
    </w:p>
    <w:p w:rsidR="00F47366" w:rsidRPr="001F538E" w:rsidRDefault="00F47366" w:rsidP="00F47366">
      <w:pPr>
        <w:rPr>
          <w:rStyle w:val="Network-bodytext"/>
        </w:rPr>
      </w:pPr>
      <w:r w:rsidRPr="001F538E">
        <w:rPr>
          <w:rStyle w:val="Network-bodytext"/>
        </w:rPr>
        <w:t xml:space="preserve">As a result, the regulator forms the view that it ought to, as a matter of principle and to best protect consumers’ interests, change its regulatory approach from those previously-accepted customs and practices. </w:t>
      </w:r>
      <w:r w:rsidR="00493855">
        <w:rPr>
          <w:rStyle w:val="Network-bodytext"/>
        </w:rPr>
        <w:t xml:space="preserve"> </w:t>
      </w:r>
      <w:r w:rsidRPr="001F538E">
        <w:rPr>
          <w:rStyle w:val="Network-bodytext"/>
        </w:rPr>
        <w:t xml:space="preserve">In doing so, it does not conclude the previous customs and approaches were wrong </w:t>
      </w:r>
      <w:r w:rsidRPr="00DB3186">
        <w:rPr>
          <w:rStyle w:val="Network-bodytext"/>
          <w:i/>
        </w:rPr>
        <w:t>per se</w:t>
      </w:r>
      <w:r w:rsidRPr="001F538E">
        <w:rPr>
          <w:rStyle w:val="Network-bodytext"/>
        </w:rPr>
        <w:t>, it has simply formed the view that there is now a better way to meet the statutory and regulatory ends.</w:t>
      </w:r>
    </w:p>
    <w:p w:rsidR="00F47366" w:rsidRPr="001F538E" w:rsidRDefault="00F47366" w:rsidP="00F47366">
      <w:pPr>
        <w:rPr>
          <w:rStyle w:val="Network-bodytext"/>
        </w:rPr>
      </w:pPr>
      <w:r w:rsidRPr="001F538E">
        <w:rPr>
          <w:rStyle w:val="Network-bodytext"/>
        </w:rPr>
        <w:t xml:space="preserve">The result would be the regulator departing from a strictly deterministic regulatory approach to one that involves explicit considerations of risks presently prevailing. </w:t>
      </w:r>
      <w:r w:rsidR="00493855">
        <w:rPr>
          <w:rStyle w:val="Network-bodytext"/>
        </w:rPr>
        <w:t xml:space="preserve"> </w:t>
      </w:r>
      <w:r w:rsidRPr="001F538E">
        <w:rPr>
          <w:rStyle w:val="Network-bodytext"/>
        </w:rPr>
        <w:t xml:space="preserve">It would make a determination that is responsive to and provides a solution to the problems it faces. </w:t>
      </w:r>
    </w:p>
    <w:p w:rsidR="00F47366" w:rsidRPr="001F538E" w:rsidRDefault="00F47366" w:rsidP="00F47366">
      <w:pPr>
        <w:rPr>
          <w:rStyle w:val="Network-bodytext"/>
        </w:rPr>
      </w:pPr>
      <w:r w:rsidRPr="001F538E">
        <w:rPr>
          <w:rStyle w:val="Network-bodytext"/>
        </w:rPr>
        <w:t>While that determination would be based on econ</w:t>
      </w:r>
      <w:r w:rsidR="00BE0F8B">
        <w:rPr>
          <w:rStyle w:val="Network-bodytext"/>
        </w:rPr>
        <w:t>omic theory and arguably on better</w:t>
      </w:r>
      <w:r w:rsidRPr="001F538E">
        <w:rPr>
          <w:rStyle w:val="Network-bodytext"/>
        </w:rPr>
        <w:t xml:space="preserve">-practice regulatory principles, would meet all legislative obligations and be considered (presumably by at least the regulator itself) to meet the relevant statutory and regulatory ends, if a strict interpretation of </w:t>
      </w:r>
      <w:r w:rsidRPr="00DB3186">
        <w:rPr>
          <w:rStyle w:val="Network-bodytext"/>
          <w:i/>
        </w:rPr>
        <w:t>regulatory precedent</w:t>
      </w:r>
      <w:r w:rsidRPr="001F538E">
        <w:rPr>
          <w:rStyle w:val="Network-bodytext"/>
        </w:rPr>
        <w:t xml:space="preserve"> is used, overly relied on or given undue weight, the regulator’s decision could be open to challenge. </w:t>
      </w:r>
    </w:p>
    <w:p w:rsidR="00F47366" w:rsidRPr="00AC5DA4" w:rsidRDefault="00F47366" w:rsidP="00F47366">
      <w:pPr>
        <w:rPr>
          <w:rStyle w:val="Network-bodytext"/>
          <w:b/>
        </w:rPr>
      </w:pPr>
      <w:r w:rsidRPr="00AC5DA4">
        <w:rPr>
          <w:rStyle w:val="Network-bodytext"/>
          <w:b/>
        </w:rPr>
        <w:t xml:space="preserve">Why? </w:t>
      </w:r>
    </w:p>
    <w:p w:rsidR="00F47366" w:rsidRPr="001F538E" w:rsidRDefault="00F47366" w:rsidP="00F47366">
      <w:pPr>
        <w:rPr>
          <w:rStyle w:val="Network-bodytext"/>
        </w:rPr>
      </w:pPr>
      <w:r w:rsidRPr="001F538E">
        <w:rPr>
          <w:rStyle w:val="Network-bodytext"/>
        </w:rPr>
        <w:t>Because it did not do what it had done previously and was not consistent with its own prior decision.</w:t>
      </w:r>
      <w:r w:rsidR="00493855">
        <w:rPr>
          <w:rStyle w:val="Network-bodytext"/>
        </w:rPr>
        <w:t xml:space="preserve"> </w:t>
      </w:r>
      <w:r w:rsidRPr="001F538E">
        <w:rPr>
          <w:rStyle w:val="Network-bodytext"/>
        </w:rPr>
        <w:t xml:space="preserve"> The difficulty is magnified, as our example regulator has openly and publicly said in the past that it relies on its </w:t>
      </w:r>
      <w:r w:rsidRPr="00DB3186">
        <w:rPr>
          <w:rStyle w:val="Network-bodytext"/>
          <w:i/>
        </w:rPr>
        <w:t>regulatory precedents</w:t>
      </w:r>
      <w:r w:rsidRPr="001F538E">
        <w:rPr>
          <w:rStyle w:val="Network-bodytext"/>
        </w:rPr>
        <w:t xml:space="preserve"> in its decision-making. </w:t>
      </w:r>
    </w:p>
    <w:p w:rsidR="00F47366" w:rsidRPr="001F538E" w:rsidRDefault="00F47366" w:rsidP="00F47366">
      <w:pPr>
        <w:rPr>
          <w:rStyle w:val="Network-bodytext"/>
        </w:rPr>
      </w:pPr>
      <w:r w:rsidRPr="001F538E">
        <w:rPr>
          <w:rStyle w:val="Network-bodytext"/>
        </w:rPr>
        <w:t xml:space="preserve">If, however, rather than relying on a conception of strict </w:t>
      </w:r>
      <w:r w:rsidRPr="00DB3186">
        <w:rPr>
          <w:rStyle w:val="Network-bodytext"/>
          <w:i/>
        </w:rPr>
        <w:t>regulatory precedent</w:t>
      </w:r>
      <w:r w:rsidRPr="001F538E">
        <w:rPr>
          <w:rStyle w:val="Network-bodytext"/>
        </w:rPr>
        <w:t xml:space="preserve"> in the sense described above, the regulator made it known that its new determination would instead have regard to or take account of what we might call </w:t>
      </w:r>
      <w:r w:rsidRPr="00DB3186">
        <w:rPr>
          <w:rStyle w:val="Network-bodytext"/>
          <w:i/>
        </w:rPr>
        <w:t>regulatory practice</w:t>
      </w:r>
      <w:r w:rsidRPr="001F538E">
        <w:rPr>
          <w:rStyle w:val="Network-bodytext"/>
        </w:rPr>
        <w:t xml:space="preserve"> (which in reality is what our example Act is asking </w:t>
      </w:r>
      <w:r w:rsidRPr="001F538E">
        <w:rPr>
          <w:rStyle w:val="Network-bodytext"/>
        </w:rPr>
        <w:lastRenderedPageBreak/>
        <w:t xml:space="preserve">for), then the regulator and all of those with an interest in the new decision would be better equipped to navigate the choppy waters of the regulatory process. </w:t>
      </w:r>
    </w:p>
    <w:p w:rsidR="00F47366" w:rsidRPr="001F538E" w:rsidRDefault="00F47366" w:rsidP="00F47366">
      <w:pPr>
        <w:rPr>
          <w:rStyle w:val="Network-bodytext"/>
        </w:rPr>
      </w:pPr>
      <w:r w:rsidRPr="001F538E">
        <w:rPr>
          <w:rStyle w:val="Network-bodytext"/>
        </w:rPr>
        <w:t xml:space="preserve">Applying </w:t>
      </w:r>
      <w:r w:rsidRPr="00DB3186">
        <w:rPr>
          <w:rStyle w:val="Network-bodytext"/>
          <w:i/>
        </w:rPr>
        <w:t>regulatory practice</w:t>
      </w:r>
      <w:r w:rsidRPr="001F538E">
        <w:rPr>
          <w:rStyle w:val="Network-bodytext"/>
        </w:rPr>
        <w:t xml:space="preserve"> would entail the regulator identifying the specific problem; looking to the terms of the prevailing legal framework; understanding where there is common ground or a basis for drawing from the past decisions of itself and other regulators; understanding where other regulators’ thinking and practices are changing, both in process and in new methods and theories being embraced; and then making a decision which takes all of those matters into account.</w:t>
      </w:r>
    </w:p>
    <w:p w:rsidR="00F47366" w:rsidRPr="001F538E" w:rsidRDefault="00F47366" w:rsidP="00F47366">
      <w:pPr>
        <w:rPr>
          <w:rStyle w:val="Network-bodytext"/>
        </w:rPr>
      </w:pPr>
      <w:r w:rsidRPr="001F538E">
        <w:rPr>
          <w:rStyle w:val="Network-bodytext"/>
        </w:rPr>
        <w:t>The regulator would be able to justify its new regulatory approach, explicitly acknowledging that, while it based its earlier decision on a particular custom and approach, due to a change in circumstances, the new approach best meets its statutory objectives.  At the same time, it could still adapt or adopt elements of prior practice, as appropriate and necessary.</w:t>
      </w:r>
    </w:p>
    <w:p w:rsidR="00F47366" w:rsidRPr="001F538E" w:rsidRDefault="00F47366" w:rsidP="00F47366">
      <w:pPr>
        <w:rPr>
          <w:rStyle w:val="Network-bodytext"/>
        </w:rPr>
      </w:pPr>
      <w:r w:rsidRPr="001F538E">
        <w:rPr>
          <w:rStyle w:val="Network-bodytext"/>
        </w:rPr>
        <w:t>Above all, it would not have bound itself to a mere replication of its last decision.</w:t>
      </w:r>
    </w:p>
    <w:p w:rsidR="00F47366" w:rsidRPr="001F538E" w:rsidRDefault="00F47366" w:rsidP="00F47366">
      <w:pPr>
        <w:rPr>
          <w:rStyle w:val="Network-bodytext"/>
        </w:rPr>
      </w:pPr>
      <w:r w:rsidRPr="001F538E">
        <w:rPr>
          <w:rStyle w:val="Network-bodytext"/>
        </w:rPr>
        <w:t xml:space="preserve">This </w:t>
      </w:r>
      <w:r w:rsidRPr="00DB3186">
        <w:rPr>
          <w:rStyle w:val="Network-bodytext"/>
          <w:i/>
        </w:rPr>
        <w:t>regulatory practice</w:t>
      </w:r>
      <w:r w:rsidRPr="001F538E">
        <w:rPr>
          <w:rStyle w:val="Network-bodytext"/>
        </w:rPr>
        <w:t xml:space="preserve"> type of approach can be seen in the 2013 United Nations report on better practice in the regulation of state-owned and municipal water utilities (see Berg 2013).</w:t>
      </w:r>
      <w:r w:rsidR="00493855">
        <w:rPr>
          <w:rStyle w:val="Network-bodytext"/>
        </w:rPr>
        <w:t xml:space="preserve"> </w:t>
      </w:r>
      <w:r w:rsidRPr="001F538E">
        <w:rPr>
          <w:rStyle w:val="Network-bodytext"/>
        </w:rPr>
        <w:t xml:space="preserve"> The report does not refer to </w:t>
      </w:r>
      <w:r w:rsidRPr="00DB3186">
        <w:rPr>
          <w:rStyle w:val="Network-bodytext"/>
          <w:i/>
        </w:rPr>
        <w:t>regulatory precedent</w:t>
      </w:r>
      <w:r w:rsidRPr="001F538E">
        <w:rPr>
          <w:rStyle w:val="Network-bodytext"/>
        </w:rPr>
        <w:t xml:space="preserve">. It talks of </w:t>
      </w:r>
      <w:r w:rsidRPr="00DB3186">
        <w:rPr>
          <w:rStyle w:val="Network-bodytext"/>
          <w:i/>
        </w:rPr>
        <w:t>regulatory practice</w:t>
      </w:r>
      <w:r w:rsidRPr="001F538E">
        <w:rPr>
          <w:rStyle w:val="Network-bodytext"/>
        </w:rPr>
        <w:t xml:space="preserve"> rather than perpetuating the fallacy that, even if confronted with problem B, regulatory decisions are precedents which act to bind the regulator and regulated entities to solutions designed to solve problem A. </w:t>
      </w:r>
    </w:p>
    <w:p w:rsidR="00F47366" w:rsidRPr="001F538E" w:rsidRDefault="00F47366" w:rsidP="00F47366">
      <w:pPr>
        <w:rPr>
          <w:rStyle w:val="Network-bodytext"/>
        </w:rPr>
      </w:pPr>
      <w:r w:rsidRPr="001F538E">
        <w:rPr>
          <w:rStyle w:val="Network-bodytext"/>
        </w:rPr>
        <w:t xml:space="preserve">In a similar vein is Ofgem’s 2014 decision as to its methodology for assessing the equity market return for the purpose of setting RIIO-EDI price controls (Ofgem 2014). </w:t>
      </w:r>
      <w:r w:rsidR="00493855">
        <w:rPr>
          <w:rStyle w:val="Network-bodytext"/>
        </w:rPr>
        <w:t xml:space="preserve"> </w:t>
      </w:r>
      <w:r w:rsidRPr="001F538E">
        <w:rPr>
          <w:rStyle w:val="Network-bodytext"/>
        </w:rPr>
        <w:t xml:space="preserve">Its reasons for decision stepped through the background for the changes in the methodology proposed (as compared with past practice), including the history and context of the re-defined problem it was trying to solve. </w:t>
      </w:r>
    </w:p>
    <w:p w:rsidR="00F47366" w:rsidRPr="001F538E" w:rsidRDefault="00F47366" w:rsidP="00F47366">
      <w:pPr>
        <w:rPr>
          <w:rStyle w:val="Network-bodytext"/>
        </w:rPr>
      </w:pPr>
      <w:r w:rsidRPr="001F538E">
        <w:rPr>
          <w:rStyle w:val="Network-bodytext"/>
        </w:rPr>
        <w:t>Ofgem chose to change its regulatory approach in response to a changing operating market.</w:t>
      </w:r>
      <w:r w:rsidR="00493855">
        <w:rPr>
          <w:rStyle w:val="Network-bodytext"/>
        </w:rPr>
        <w:t xml:space="preserve"> </w:t>
      </w:r>
      <w:r w:rsidRPr="001F538E">
        <w:rPr>
          <w:rStyle w:val="Network-bodytext"/>
        </w:rPr>
        <w:t xml:space="preserve"> It </w:t>
      </w:r>
      <w:r w:rsidRPr="00DB3186">
        <w:rPr>
          <w:rStyle w:val="Network-bodytext"/>
          <w:i/>
        </w:rPr>
        <w:t>‘decided to give greater weight to the influence of current market conditions in relation to the equity market return’</w:t>
      </w:r>
      <w:r w:rsidRPr="001F538E">
        <w:rPr>
          <w:rStyle w:val="Network-bodytext"/>
        </w:rPr>
        <w:t xml:space="preserve"> (p. 1).</w:t>
      </w:r>
      <w:r w:rsidR="00493855">
        <w:rPr>
          <w:rStyle w:val="Network-bodytext"/>
        </w:rPr>
        <w:t xml:space="preserve"> </w:t>
      </w:r>
      <w:r w:rsidRPr="001F538E">
        <w:rPr>
          <w:rStyle w:val="Network-bodytext"/>
        </w:rPr>
        <w:t xml:space="preserve"> The decision highlighted why past practice was no longer appropriate to meet Ofgem’s regulatory objective and it described the new approach as being </w:t>
      </w:r>
      <w:r w:rsidRPr="00DB3186">
        <w:rPr>
          <w:rStyle w:val="Network-bodytext"/>
          <w:i/>
        </w:rPr>
        <w:t>‘consistent with good regulatory practice’</w:t>
      </w:r>
      <w:r w:rsidRPr="001F538E">
        <w:rPr>
          <w:rStyle w:val="Network-bodytext"/>
        </w:rPr>
        <w:t xml:space="preserve"> (p. 6).</w:t>
      </w:r>
    </w:p>
    <w:p w:rsidR="00F47366" w:rsidRPr="001F538E" w:rsidRDefault="00F47366" w:rsidP="00F47366">
      <w:pPr>
        <w:rPr>
          <w:rStyle w:val="Network-bodytext"/>
        </w:rPr>
      </w:pPr>
      <w:r w:rsidRPr="001F538E">
        <w:rPr>
          <w:rStyle w:val="Network-bodytext"/>
        </w:rPr>
        <w:t xml:space="preserve">On the other hand, for an example of where the courts have critiqued a regulator’s application of </w:t>
      </w:r>
      <w:r w:rsidRPr="001F538E">
        <w:rPr>
          <w:rStyle w:val="Network-bodytext"/>
        </w:rPr>
        <w:lastRenderedPageBreak/>
        <w:t xml:space="preserve">regulatory precedent, see </w:t>
      </w:r>
      <w:r w:rsidRPr="00DB3186">
        <w:rPr>
          <w:rStyle w:val="Network-bodytext"/>
          <w:i/>
        </w:rPr>
        <w:t>Business Roundtable v. Securities Exchange Commission</w:t>
      </w:r>
      <w:r w:rsidRPr="001F538E">
        <w:rPr>
          <w:rStyle w:val="Network-bodytext"/>
        </w:rPr>
        <w:t>.</w:t>
      </w:r>
      <w:r w:rsidR="00816A93">
        <w:rPr>
          <w:rStyle w:val="FootnoteReference"/>
          <w:color w:val="595959"/>
          <w:kern w:val="36"/>
        </w:rPr>
        <w:footnoteReference w:id="3"/>
      </w:r>
      <w:r w:rsidRPr="001F538E">
        <w:rPr>
          <w:rStyle w:val="Network-bodytext"/>
        </w:rPr>
        <w:t xml:space="preserve">  The appeal court identified that, whatever the theoretical and precedent merits of the Securities</w:t>
      </w:r>
      <w:r w:rsidR="00493855">
        <w:rPr>
          <w:rStyle w:val="Network-bodytext"/>
        </w:rPr>
        <w:t xml:space="preserve"> Exchange Commission’s analysis,</w:t>
      </w:r>
      <w:r w:rsidRPr="001F538E">
        <w:rPr>
          <w:rStyle w:val="Network-bodytext"/>
        </w:rPr>
        <w:t xml:space="preserve"> its regulatory decision was based on assumptions that were not reflective of the circumstances of the problems with which it was presented. </w:t>
      </w:r>
      <w:r w:rsidR="00493855">
        <w:rPr>
          <w:rStyle w:val="Network-bodytext"/>
        </w:rPr>
        <w:t xml:space="preserve"> </w:t>
      </w:r>
      <w:r w:rsidRPr="001F538E">
        <w:rPr>
          <w:rStyle w:val="Network-bodytext"/>
        </w:rPr>
        <w:t>With the SEC and other regulatory agencies facing increasing legal challenges, the courts of the United States have developed a number of administrative law doctrines for those agencies to demarcate the limits of judicial review of agency rules and decisions (orders).  In doing so, they have recognised that legal doctrines (such as that of precedent) are not always well-suited to the exercise of regulatory functions.</w:t>
      </w:r>
      <w:r w:rsidR="00816A93">
        <w:rPr>
          <w:rStyle w:val="FootnoteReference"/>
          <w:color w:val="595959"/>
          <w:kern w:val="36"/>
        </w:rPr>
        <w:footnoteReference w:id="4"/>
      </w:r>
      <w:r w:rsidRPr="001F538E">
        <w:rPr>
          <w:rStyle w:val="Network-bodytext"/>
        </w:rPr>
        <w:t xml:space="preserve">   </w:t>
      </w:r>
    </w:p>
    <w:p w:rsidR="00F47366" w:rsidRPr="001F538E" w:rsidRDefault="00F47366" w:rsidP="00F47366">
      <w:pPr>
        <w:rPr>
          <w:rStyle w:val="Network-bodytext"/>
        </w:rPr>
      </w:pPr>
      <w:r w:rsidRPr="001F538E">
        <w:rPr>
          <w:rStyle w:val="Network-bodytext"/>
        </w:rPr>
        <w:t xml:space="preserve">Finally, the specific legal framework within which economic regulation occurs is of central importance. </w:t>
      </w:r>
      <w:r w:rsidR="00493855">
        <w:rPr>
          <w:rStyle w:val="Network-bodytext"/>
        </w:rPr>
        <w:t xml:space="preserve"> </w:t>
      </w:r>
      <w:r w:rsidRPr="001F538E">
        <w:rPr>
          <w:rStyle w:val="Network-bodytext"/>
        </w:rPr>
        <w:t xml:space="preserve">The framework applicable to each regulator will dictate certain approaches and application of past practice. </w:t>
      </w:r>
    </w:p>
    <w:p w:rsidR="00F47366" w:rsidRPr="001F538E" w:rsidRDefault="00F47366" w:rsidP="00F47366">
      <w:pPr>
        <w:rPr>
          <w:rStyle w:val="Network-bodytext"/>
        </w:rPr>
      </w:pPr>
      <w:r w:rsidRPr="001F538E">
        <w:rPr>
          <w:rStyle w:val="Network-bodytext"/>
        </w:rPr>
        <w:t xml:space="preserve">What is to be remembered is that legal frameworks often differ between jurisdictions. </w:t>
      </w:r>
      <w:r w:rsidR="00493855">
        <w:rPr>
          <w:rStyle w:val="Network-bodytext"/>
        </w:rPr>
        <w:t xml:space="preserve"> </w:t>
      </w:r>
      <w:r w:rsidRPr="001F538E">
        <w:rPr>
          <w:rStyle w:val="Network-bodytext"/>
        </w:rPr>
        <w:t xml:space="preserve">This lends further weight against the simple application of </w:t>
      </w:r>
      <w:r w:rsidRPr="00DB3186">
        <w:rPr>
          <w:rStyle w:val="Network-bodytext"/>
          <w:i/>
        </w:rPr>
        <w:t>regulatory precedent</w:t>
      </w:r>
      <w:r w:rsidRPr="001F538E">
        <w:rPr>
          <w:rStyle w:val="Network-bodytext"/>
        </w:rPr>
        <w:t xml:space="preserve">. </w:t>
      </w:r>
      <w:r w:rsidR="00493855">
        <w:rPr>
          <w:rStyle w:val="Network-bodytext"/>
        </w:rPr>
        <w:t xml:space="preserve"> </w:t>
      </w:r>
      <w:r w:rsidRPr="001F538E">
        <w:rPr>
          <w:rStyle w:val="Network-bodytext"/>
        </w:rPr>
        <w:t xml:space="preserve">Regulator A cannot simply apply the decisions of another regulatory framework, with its own ‘have regard to’ clauses, policy directions and procedural obligations, to its own context, without considering the reasons for and implications of those differences. </w:t>
      </w:r>
    </w:p>
    <w:p w:rsidR="00F47366" w:rsidRPr="001F538E" w:rsidRDefault="00F47366" w:rsidP="00F47366">
      <w:pPr>
        <w:rPr>
          <w:rStyle w:val="Network-bodytext"/>
        </w:rPr>
      </w:pPr>
      <w:r w:rsidRPr="001F538E">
        <w:rPr>
          <w:rStyle w:val="Network-bodytext"/>
        </w:rPr>
        <w:t xml:space="preserve">What if the same clauses, policy directions or procedural requirements do not apply in the case of regulator A? </w:t>
      </w:r>
      <w:r w:rsidR="00493855">
        <w:rPr>
          <w:rStyle w:val="Network-bodytext"/>
        </w:rPr>
        <w:t xml:space="preserve"> </w:t>
      </w:r>
      <w:r w:rsidRPr="001F538E">
        <w:rPr>
          <w:rStyle w:val="Network-bodytext"/>
        </w:rPr>
        <w:t xml:space="preserve">In any event, would the same decision have been made in the first instance if those matters had not applied to the original decision-maker? </w:t>
      </w:r>
      <w:r w:rsidR="00493855">
        <w:rPr>
          <w:rStyle w:val="Network-bodytext"/>
        </w:rPr>
        <w:t xml:space="preserve"> </w:t>
      </w:r>
      <w:r w:rsidRPr="001F538E">
        <w:rPr>
          <w:rStyle w:val="Network-bodytext"/>
        </w:rPr>
        <w:t>Does the original decision reflect an underlying ’correctness’ of theory or approach, or is it simply a construct which reflects its own circumstances?</w:t>
      </w:r>
    </w:p>
    <w:p w:rsidR="00F47366" w:rsidRPr="001F538E" w:rsidRDefault="00F47366" w:rsidP="00F47366">
      <w:pPr>
        <w:rPr>
          <w:rStyle w:val="Network-bodytext"/>
        </w:rPr>
      </w:pPr>
      <w:r w:rsidRPr="001F538E">
        <w:rPr>
          <w:rStyle w:val="Network-bodytext"/>
        </w:rPr>
        <w:t xml:space="preserve">All of those considerations tend against a strict conceptualisation of </w:t>
      </w:r>
      <w:r w:rsidRPr="00DB3186">
        <w:rPr>
          <w:rStyle w:val="Network-bodytext"/>
          <w:i/>
        </w:rPr>
        <w:t>regulatory precedent</w:t>
      </w:r>
      <w:r w:rsidRPr="001F538E">
        <w:rPr>
          <w:rStyle w:val="Network-bodytext"/>
        </w:rPr>
        <w:t>.</w:t>
      </w:r>
    </w:p>
    <w:p w:rsidR="00F47366" w:rsidRPr="00816A93" w:rsidRDefault="00F47366" w:rsidP="00F47366">
      <w:pPr>
        <w:rPr>
          <w:rStyle w:val="Network-bodytext"/>
          <w:b/>
        </w:rPr>
      </w:pPr>
      <w:r w:rsidRPr="00816A93">
        <w:rPr>
          <w:rStyle w:val="Network-bodytext"/>
          <w:b/>
        </w:rPr>
        <w:t>Whither regulatory practice?</w:t>
      </w:r>
    </w:p>
    <w:p w:rsidR="00F47366" w:rsidRPr="001F538E" w:rsidRDefault="00F47366" w:rsidP="00F47366">
      <w:pPr>
        <w:rPr>
          <w:rStyle w:val="Network-bodytext"/>
        </w:rPr>
      </w:pPr>
      <w:r w:rsidRPr="001F538E">
        <w:rPr>
          <w:rStyle w:val="Network-bodytext"/>
        </w:rPr>
        <w:t xml:space="preserve">To avoid problems in the nature of those outlined above, regulators must first understand the unintended consequences of using a strict concept akin to the legal doctrine of precedent in their regulatory decisions. </w:t>
      </w:r>
    </w:p>
    <w:p w:rsidR="00F47366" w:rsidRPr="001F538E" w:rsidRDefault="00F47366" w:rsidP="00F47366">
      <w:pPr>
        <w:rPr>
          <w:rStyle w:val="Network-bodytext"/>
        </w:rPr>
      </w:pPr>
      <w:r w:rsidRPr="001F538E">
        <w:rPr>
          <w:rStyle w:val="Network-bodytext"/>
        </w:rPr>
        <w:lastRenderedPageBreak/>
        <w:t xml:space="preserve">They must then have the discipline and rigour to not use the term </w:t>
      </w:r>
      <w:r w:rsidRPr="00DB3186">
        <w:rPr>
          <w:rStyle w:val="Network-bodytext"/>
          <w:i/>
        </w:rPr>
        <w:t>precedent</w:t>
      </w:r>
      <w:r w:rsidRPr="001F538E">
        <w:rPr>
          <w:rStyle w:val="Network-bodytext"/>
        </w:rPr>
        <w:t xml:space="preserve">; regulators should be freely and openly discussing better </w:t>
      </w:r>
      <w:r w:rsidRPr="00DB3186">
        <w:rPr>
          <w:rStyle w:val="Network-bodytext"/>
          <w:i/>
        </w:rPr>
        <w:t>regulatory practices</w:t>
      </w:r>
      <w:r w:rsidRPr="001F538E">
        <w:rPr>
          <w:rStyle w:val="Network-bodytext"/>
        </w:rPr>
        <w:t xml:space="preserve">, not </w:t>
      </w:r>
      <w:r w:rsidRPr="00DB3186">
        <w:rPr>
          <w:rStyle w:val="Network-bodytext"/>
          <w:i/>
        </w:rPr>
        <w:t>regulatory precedent</w:t>
      </w:r>
      <w:r w:rsidRPr="001F538E">
        <w:rPr>
          <w:rStyle w:val="Network-bodytext"/>
        </w:rPr>
        <w:t>.</w:t>
      </w:r>
    </w:p>
    <w:p w:rsidR="00F47366" w:rsidRPr="001F538E" w:rsidRDefault="00F47366" w:rsidP="00F47366">
      <w:pPr>
        <w:rPr>
          <w:rStyle w:val="Network-bodytext"/>
        </w:rPr>
      </w:pPr>
      <w:r w:rsidRPr="001F538E">
        <w:rPr>
          <w:rStyle w:val="Network-bodytext"/>
        </w:rPr>
        <w:t xml:space="preserve">Economic regulators occupy a unique place in society, not quite government, not quite social advocates and not quite business advocates. </w:t>
      </w:r>
      <w:r w:rsidR="00493855">
        <w:rPr>
          <w:rStyle w:val="Network-bodytext"/>
        </w:rPr>
        <w:t xml:space="preserve"> </w:t>
      </w:r>
      <w:r w:rsidRPr="001F538E">
        <w:rPr>
          <w:rStyle w:val="Network-bodytext"/>
        </w:rPr>
        <w:t xml:space="preserve">They exist, ultimately, through the will of the people as expressed by the Parliament in laws. </w:t>
      </w:r>
      <w:r w:rsidR="00493855">
        <w:rPr>
          <w:rStyle w:val="Network-bodytext"/>
        </w:rPr>
        <w:t xml:space="preserve"> </w:t>
      </w:r>
      <w:r w:rsidRPr="001F538E">
        <w:rPr>
          <w:rStyle w:val="Network-bodytext"/>
        </w:rPr>
        <w:t>They are given a purpose through those laws. That purpose, which can be variously expressed, generally revolves around serving society’s interests through encouraging and facilitating enhanced economic efficiency.</w:t>
      </w:r>
    </w:p>
    <w:p w:rsidR="00F47366" w:rsidRPr="001F538E" w:rsidRDefault="00BE0F8B" w:rsidP="00F47366">
      <w:pPr>
        <w:rPr>
          <w:rStyle w:val="Network-bodytext"/>
        </w:rPr>
      </w:pPr>
      <w:r>
        <w:rPr>
          <w:rStyle w:val="Network-bodytext"/>
        </w:rPr>
        <w:t>In serving society in this</w:t>
      </w:r>
      <w:r w:rsidR="00F47366" w:rsidRPr="001F538E">
        <w:rPr>
          <w:rStyle w:val="Network-bodytext"/>
        </w:rPr>
        <w:t xml:space="preserve"> way, economic regulators are empowered (within the legal bounds of the laws which create and empower them) to reflect social, economic and other changes in their solutions to the problems they presented with. </w:t>
      </w:r>
    </w:p>
    <w:p w:rsidR="00F47366" w:rsidRPr="001F538E" w:rsidRDefault="00F47366" w:rsidP="00F47366">
      <w:pPr>
        <w:rPr>
          <w:rStyle w:val="Network-bodytext"/>
        </w:rPr>
      </w:pPr>
      <w:r w:rsidRPr="001F538E">
        <w:rPr>
          <w:rStyle w:val="Network-bodytext"/>
        </w:rPr>
        <w:t xml:space="preserve">However, there must be a certainty as to the process or defining and refining the principles and approaches that they will apply – economic regulators should no more create a sea of uncertainties than they should bind themselves blindly to the past. </w:t>
      </w:r>
      <w:r w:rsidR="00493855">
        <w:rPr>
          <w:rStyle w:val="Network-bodytext"/>
        </w:rPr>
        <w:t xml:space="preserve"> </w:t>
      </w:r>
      <w:r w:rsidRPr="001F538E">
        <w:rPr>
          <w:rStyle w:val="Network-bodytext"/>
        </w:rPr>
        <w:t xml:space="preserve">To create certainty as to the principles and approaches requires economic regulators to have regard to </w:t>
      </w:r>
      <w:r w:rsidRPr="00DB3186">
        <w:rPr>
          <w:rStyle w:val="Network-bodytext"/>
          <w:i/>
        </w:rPr>
        <w:t>regulatory practice</w:t>
      </w:r>
      <w:r w:rsidRPr="001F538E">
        <w:rPr>
          <w:rStyle w:val="Network-bodytext"/>
        </w:rPr>
        <w:t xml:space="preserve"> in its proper sense; not a mere application of historical solutions to current day problems.</w:t>
      </w:r>
    </w:p>
    <w:p w:rsidR="00F47366" w:rsidRPr="001F538E" w:rsidRDefault="00F47366" w:rsidP="00F47366">
      <w:pPr>
        <w:rPr>
          <w:rStyle w:val="Network-bodytext"/>
        </w:rPr>
      </w:pPr>
      <w:r w:rsidRPr="001F538E">
        <w:rPr>
          <w:rStyle w:val="Network-bodytext"/>
        </w:rPr>
        <w:t>The rule of law (of which the doctrine of legal precedent is a subset) has earned its moral and juridical legitimacy by taking into account principles of the society in which it is situated (for example, in a democratic society, that is the administration of the country’s resources on behalf of its citizens</w:t>
      </w:r>
      <w:r w:rsidR="00816A93">
        <w:rPr>
          <w:rStyle w:val="FootnoteReference"/>
          <w:color w:val="595959"/>
          <w:kern w:val="36"/>
        </w:rPr>
        <w:footnoteReference w:id="5"/>
      </w:r>
      <w:r w:rsidRPr="001F538E">
        <w:rPr>
          <w:rStyle w:val="Network-bodytext"/>
        </w:rPr>
        <w:t xml:space="preserve">), market forces (free or restrained), human rights and subjecting the state to the rule of law. </w:t>
      </w:r>
    </w:p>
    <w:p w:rsidR="00BE0F8B" w:rsidRDefault="00F47366" w:rsidP="00F47366">
      <w:pPr>
        <w:rPr>
          <w:rStyle w:val="Network-bodytext"/>
        </w:rPr>
      </w:pPr>
      <w:r w:rsidRPr="001F538E">
        <w:rPr>
          <w:rStyle w:val="Network-bodytext"/>
        </w:rPr>
        <w:t>Regulation is not the rule of law. Regulation is (at its simplest) a tool to provide a solution to a defined problem at a given point in time.</w:t>
      </w:r>
      <w:r w:rsidR="00493855">
        <w:rPr>
          <w:rStyle w:val="Network-bodytext"/>
        </w:rPr>
        <w:t xml:space="preserve"> </w:t>
      </w:r>
      <w:r w:rsidRPr="001F538E">
        <w:rPr>
          <w:rStyle w:val="Network-bodytext"/>
        </w:rPr>
        <w:t xml:space="preserve"> </w:t>
      </w:r>
      <w:r w:rsidR="00BE0F8B">
        <w:rPr>
          <w:rStyle w:val="Network-bodytext"/>
        </w:rPr>
        <w:t>Regulators are simultaneously boundary</w:t>
      </w:r>
      <w:r w:rsidR="006734B4">
        <w:rPr>
          <w:rStyle w:val="Network-bodytext"/>
        </w:rPr>
        <w:t>-</w:t>
      </w:r>
      <w:r w:rsidR="00BE0F8B">
        <w:rPr>
          <w:rStyle w:val="Network-bodytext"/>
        </w:rPr>
        <w:t>riders of the regulatory framework and problem</w:t>
      </w:r>
      <w:r w:rsidR="006734B4">
        <w:rPr>
          <w:rStyle w:val="Network-bodytext"/>
        </w:rPr>
        <w:t>-</w:t>
      </w:r>
      <w:r w:rsidR="00BE0F8B">
        <w:rPr>
          <w:rStyle w:val="Network-bodytext"/>
        </w:rPr>
        <w:t>solvers.</w:t>
      </w:r>
    </w:p>
    <w:p w:rsidR="00F47366" w:rsidRPr="001F538E" w:rsidRDefault="00F47366" w:rsidP="00F47366">
      <w:pPr>
        <w:rPr>
          <w:rStyle w:val="Network-bodytext"/>
        </w:rPr>
      </w:pPr>
      <w:r w:rsidRPr="001F538E">
        <w:rPr>
          <w:rStyle w:val="Network-bodytext"/>
        </w:rPr>
        <w:t xml:space="preserve">If regulators and regulated entities continue to use the terminology of </w:t>
      </w:r>
      <w:r w:rsidRPr="00D90A33">
        <w:rPr>
          <w:rStyle w:val="Network-bodytext"/>
          <w:i/>
        </w:rPr>
        <w:t>regulatory precedent</w:t>
      </w:r>
      <w:r w:rsidRPr="001F538E">
        <w:rPr>
          <w:rStyle w:val="Network-bodytext"/>
        </w:rPr>
        <w:t xml:space="preserve"> to bind themselves to past </w:t>
      </w:r>
      <w:r w:rsidRPr="00D90A33">
        <w:rPr>
          <w:rStyle w:val="Network-bodytext"/>
          <w:i/>
        </w:rPr>
        <w:t>regulatory practice</w:t>
      </w:r>
      <w:r w:rsidRPr="001F538E">
        <w:rPr>
          <w:rStyle w:val="Network-bodytext"/>
        </w:rPr>
        <w:t>, they will not be able to properly address the problem</w:t>
      </w:r>
      <w:r w:rsidR="00BE0F8B">
        <w:rPr>
          <w:rStyle w:val="Network-bodytext"/>
        </w:rPr>
        <w:t xml:space="preserve"> at hand</w:t>
      </w:r>
      <w:r w:rsidRPr="001F538E">
        <w:rPr>
          <w:rStyle w:val="Network-bodytext"/>
        </w:rPr>
        <w:t xml:space="preserve">. </w:t>
      </w:r>
      <w:r w:rsidR="00493855">
        <w:rPr>
          <w:rStyle w:val="Network-bodytext"/>
        </w:rPr>
        <w:t xml:space="preserve"> </w:t>
      </w:r>
      <w:r w:rsidRPr="001F538E">
        <w:rPr>
          <w:rStyle w:val="Network-bodytext"/>
        </w:rPr>
        <w:t xml:space="preserve">Such an outcome is antithetical to the </w:t>
      </w:r>
      <w:r w:rsidRPr="00D90A33">
        <w:rPr>
          <w:rStyle w:val="Network-bodytext"/>
          <w:i/>
        </w:rPr>
        <w:t>raison d’être</w:t>
      </w:r>
      <w:r w:rsidRPr="001F538E">
        <w:rPr>
          <w:rStyle w:val="Network-bodytext"/>
        </w:rPr>
        <w:t xml:space="preserve"> of regulation and regulators. </w:t>
      </w:r>
    </w:p>
    <w:p w:rsidR="00F47366" w:rsidRPr="001F538E" w:rsidRDefault="00F47366" w:rsidP="00F47366">
      <w:pPr>
        <w:rPr>
          <w:rStyle w:val="Network-bodytext"/>
        </w:rPr>
      </w:pPr>
      <w:r w:rsidRPr="00D90A33">
        <w:rPr>
          <w:rStyle w:val="Network-bodytext"/>
          <w:i/>
        </w:rPr>
        <w:lastRenderedPageBreak/>
        <w:t>‘Our role is to widen the field of discussion, not to set limits in accord with the prevailing authority.’</w:t>
      </w:r>
      <w:r w:rsidRPr="001F538E">
        <w:rPr>
          <w:rStyle w:val="Network-bodytext"/>
        </w:rPr>
        <w:t xml:space="preserve"> </w:t>
      </w:r>
      <w:r w:rsidR="00493855">
        <w:rPr>
          <w:rStyle w:val="Network-bodytext"/>
        </w:rPr>
        <w:t xml:space="preserve"> </w:t>
      </w:r>
      <w:r w:rsidRPr="001F538E">
        <w:rPr>
          <w:rStyle w:val="Network-bodytext"/>
        </w:rPr>
        <w:t>(Said 1978 p. xvii)</w:t>
      </w:r>
    </w:p>
    <w:p w:rsidR="00F47366" w:rsidRPr="001F538E" w:rsidRDefault="00F47366" w:rsidP="00F47366">
      <w:pPr>
        <w:rPr>
          <w:rStyle w:val="Network-bodytext"/>
        </w:rPr>
      </w:pPr>
      <w:r w:rsidRPr="001F538E">
        <w:rPr>
          <w:rStyle w:val="Network-bodytext"/>
        </w:rPr>
        <w:t>To rely strictly (even if inadvertently) on a doctrine of precedent in some sort of quasi-legal sense, while understandable, is a mistake to be avoided if regulators wish to have relevance and add value by being the very thin</w:t>
      </w:r>
      <w:r w:rsidR="00BE0F8B">
        <w:rPr>
          <w:rStyle w:val="Network-bodytext"/>
        </w:rPr>
        <w:t>g they excel at: problem-solving</w:t>
      </w:r>
      <w:r w:rsidRPr="001F538E">
        <w:rPr>
          <w:rStyle w:val="Network-bodytext"/>
        </w:rPr>
        <w:t>.</w:t>
      </w:r>
    </w:p>
    <w:p w:rsidR="00F47366" w:rsidRPr="00816A93" w:rsidRDefault="00F47366" w:rsidP="00F47366">
      <w:pPr>
        <w:rPr>
          <w:rStyle w:val="Network-bodytext"/>
          <w:b/>
        </w:rPr>
      </w:pPr>
      <w:r w:rsidRPr="00816A93">
        <w:rPr>
          <w:rStyle w:val="Network-bodytext"/>
          <w:b/>
        </w:rPr>
        <w:t>References</w:t>
      </w:r>
    </w:p>
    <w:p w:rsidR="00F47366" w:rsidRPr="001F538E" w:rsidRDefault="00F47366" w:rsidP="00F47366">
      <w:pPr>
        <w:rPr>
          <w:rStyle w:val="Network-bodytext"/>
        </w:rPr>
      </w:pPr>
      <w:r w:rsidRPr="001F538E">
        <w:rPr>
          <w:rStyle w:val="Network-bodytext"/>
        </w:rPr>
        <w:t xml:space="preserve">Berg SV (2013), </w:t>
      </w:r>
      <w:r w:rsidRPr="00816A93">
        <w:rPr>
          <w:rStyle w:val="Network-bodytext"/>
          <w:i/>
        </w:rPr>
        <w:t>Best Practices in Regulating State-owned and Municipal Water Utilities</w:t>
      </w:r>
      <w:r w:rsidRPr="001F538E">
        <w:rPr>
          <w:rStyle w:val="Network-bodytext"/>
        </w:rPr>
        <w:t>, United Nations Economic Commission for Latin America and the Caribbean.</w:t>
      </w:r>
    </w:p>
    <w:p w:rsidR="00F47366" w:rsidRPr="001F538E" w:rsidRDefault="00F47366" w:rsidP="00F47366">
      <w:pPr>
        <w:rPr>
          <w:rStyle w:val="Network-bodytext"/>
        </w:rPr>
      </w:pPr>
      <w:r w:rsidRPr="001F538E">
        <w:rPr>
          <w:rStyle w:val="Network-bodytext"/>
        </w:rPr>
        <w:t xml:space="preserve">Cross R (1977), </w:t>
      </w:r>
      <w:r w:rsidRPr="00816A93">
        <w:rPr>
          <w:rStyle w:val="Network-bodytext"/>
          <w:i/>
        </w:rPr>
        <w:t>Precedent in English Law</w:t>
      </w:r>
      <w:r w:rsidRPr="001F538E">
        <w:rPr>
          <w:rStyle w:val="Network-bodytext"/>
        </w:rPr>
        <w:t>, 3e, Clarendon Press, Oxford.</w:t>
      </w:r>
    </w:p>
    <w:p w:rsidR="00F47366" w:rsidRPr="001F538E" w:rsidRDefault="00F47366" w:rsidP="00F47366">
      <w:pPr>
        <w:rPr>
          <w:rStyle w:val="Network-bodytext"/>
        </w:rPr>
      </w:pPr>
      <w:r w:rsidRPr="001F538E">
        <w:rPr>
          <w:rStyle w:val="Network-bodytext"/>
        </w:rPr>
        <w:t xml:space="preserve">Cross R and JW Harris (1991), </w:t>
      </w:r>
      <w:r w:rsidRPr="00816A93">
        <w:rPr>
          <w:rStyle w:val="Network-bodytext"/>
          <w:i/>
        </w:rPr>
        <w:t>Precedent in English Law</w:t>
      </w:r>
      <w:r w:rsidRPr="001F538E">
        <w:rPr>
          <w:rStyle w:val="Network-bodytext"/>
        </w:rPr>
        <w:t xml:space="preserve">, 4e, Clarendon Press, Oxford. </w:t>
      </w:r>
    </w:p>
    <w:p w:rsidR="00F47366" w:rsidRPr="001F538E" w:rsidRDefault="00F47366" w:rsidP="00F47366">
      <w:pPr>
        <w:rPr>
          <w:rStyle w:val="Network-bodytext"/>
        </w:rPr>
      </w:pPr>
      <w:r w:rsidRPr="001F538E">
        <w:rPr>
          <w:rStyle w:val="Network-bodytext"/>
        </w:rPr>
        <w:t xml:space="preserve">James Robert Rhodes (ed) (1973), </w:t>
      </w:r>
      <w:r w:rsidRPr="00816A93">
        <w:rPr>
          <w:rStyle w:val="Network-bodytext"/>
          <w:i/>
        </w:rPr>
        <w:t>Winston S. Churchill His Complete Speeches</w:t>
      </w:r>
      <w:r w:rsidRPr="001F538E">
        <w:rPr>
          <w:rStyle w:val="Network-bodytext"/>
        </w:rPr>
        <w:t>, 1897-1963, volume 4 1922-1928, Chelsea House Publishers.</w:t>
      </w:r>
    </w:p>
    <w:p w:rsidR="00F47366" w:rsidRPr="001F538E" w:rsidRDefault="00F47366" w:rsidP="00F47366">
      <w:pPr>
        <w:rPr>
          <w:rStyle w:val="Network-bodytext"/>
        </w:rPr>
      </w:pPr>
      <w:r w:rsidRPr="001F538E">
        <w:rPr>
          <w:rStyle w:val="Network-bodytext"/>
        </w:rPr>
        <w:t xml:space="preserve">MacAdam A and J Pyke (1998), </w:t>
      </w:r>
      <w:r w:rsidRPr="00816A93">
        <w:rPr>
          <w:rStyle w:val="Network-bodytext"/>
          <w:i/>
        </w:rPr>
        <w:t>Judicial Reasoning and the Doctrine of Precedent in Australia</w:t>
      </w:r>
      <w:r w:rsidRPr="001F538E">
        <w:rPr>
          <w:rStyle w:val="Network-bodytext"/>
        </w:rPr>
        <w:t>, Butterworths, Sydney.</w:t>
      </w:r>
    </w:p>
    <w:p w:rsidR="00F47366" w:rsidRPr="001F538E" w:rsidRDefault="00F47366" w:rsidP="00F47366">
      <w:pPr>
        <w:rPr>
          <w:rStyle w:val="Network-bodytext"/>
        </w:rPr>
      </w:pPr>
      <w:r w:rsidRPr="001F538E">
        <w:rPr>
          <w:rStyle w:val="Network-bodytext"/>
        </w:rPr>
        <w:t xml:space="preserve">Murphy LK (1979), ‘The Responsibility of Judges’, opening address for the First National Conference for Labor Lawyers, 29 June 1979, in G Evans (ed), </w:t>
      </w:r>
      <w:r w:rsidRPr="00816A93">
        <w:rPr>
          <w:rStyle w:val="Network-bodytext"/>
          <w:i/>
        </w:rPr>
        <w:t>Law Politics and the Labor Movement</w:t>
      </w:r>
      <w:r w:rsidRPr="001F538E">
        <w:rPr>
          <w:rStyle w:val="Network-bodytext"/>
        </w:rPr>
        <w:t>, Legal Service Bulletin, Clayton, Victoria, 1980.</w:t>
      </w:r>
    </w:p>
    <w:p w:rsidR="00F47366" w:rsidRPr="001F538E" w:rsidRDefault="00F47366" w:rsidP="00F47366">
      <w:pPr>
        <w:rPr>
          <w:rStyle w:val="Network-bodytext"/>
        </w:rPr>
      </w:pPr>
      <w:r w:rsidRPr="001F538E">
        <w:rPr>
          <w:rStyle w:val="Network-bodytext"/>
        </w:rPr>
        <w:t xml:space="preserve">Ofgem (2014), </w:t>
      </w:r>
      <w:r w:rsidRPr="00816A93">
        <w:rPr>
          <w:rStyle w:val="Network-bodytext"/>
          <w:i/>
        </w:rPr>
        <w:t>Decision on our Methodology for Assessing the Equity Market Return for the Purpose of Setting RIIO-ED1 Price Controls</w:t>
      </w:r>
      <w:r w:rsidRPr="001F538E">
        <w:rPr>
          <w:rStyle w:val="Network-bodytext"/>
        </w:rPr>
        <w:t xml:space="preserve">, </w:t>
      </w:r>
      <w:hyperlink r:id="rId15" w:history="1">
        <w:r w:rsidR="00320E82" w:rsidRPr="001F538E">
          <w:rPr>
            <w:rStyle w:val="Network-bodytext"/>
            <w:rFonts w:eastAsia="Calibri"/>
            <w:u w:val="single"/>
          </w:rPr>
          <w:t>Letter</w:t>
        </w:r>
      </w:hyperlink>
      <w:r w:rsidR="00320E82" w:rsidRPr="001F538E">
        <w:rPr>
          <w:rStyle w:val="Network-bodytext"/>
          <w:rFonts w:eastAsia="Calibri"/>
        </w:rPr>
        <w:t xml:space="preserve"> </w:t>
      </w:r>
      <w:r w:rsidRPr="001F538E">
        <w:rPr>
          <w:rStyle w:val="Network-bodytext"/>
        </w:rPr>
        <w:t>to network companies, generators, suppliers, consumers and their representatives and other interested parties, 17 February.</w:t>
      </w:r>
    </w:p>
    <w:p w:rsidR="00F47366" w:rsidRPr="001F538E" w:rsidRDefault="00F47366" w:rsidP="00F47366">
      <w:pPr>
        <w:rPr>
          <w:rStyle w:val="Network-bodytext"/>
        </w:rPr>
      </w:pPr>
      <w:r w:rsidRPr="001F538E">
        <w:rPr>
          <w:rStyle w:val="Network-bodytext"/>
        </w:rPr>
        <w:t xml:space="preserve">Said Edward W (1978), </w:t>
      </w:r>
      <w:r w:rsidRPr="00816A93">
        <w:rPr>
          <w:rStyle w:val="Network-bodytext"/>
          <w:i/>
        </w:rPr>
        <w:t>Orientalism</w:t>
      </w:r>
      <w:r w:rsidRPr="001F538E">
        <w:rPr>
          <w:rStyle w:val="Network-bodytext"/>
        </w:rPr>
        <w:t>, Vintage Books, New York.  (Page references are to the Penguin Modern Classics edition, 2003.)</w:t>
      </w:r>
    </w:p>
    <w:p w:rsidR="00F47366" w:rsidRPr="00F47366" w:rsidRDefault="00F47366" w:rsidP="00F47366">
      <w:pPr>
        <w:rPr>
          <w:color w:val="595959"/>
          <w:kern w:val="36"/>
          <w:szCs w:val="24"/>
          <w:lang w:eastAsia="it-IT"/>
        </w:rPr>
      </w:pPr>
      <w:r w:rsidRPr="001F538E">
        <w:rPr>
          <w:rStyle w:val="Network-bodytext"/>
        </w:rPr>
        <w:t xml:space="preserve">Samuelson Paul (1970), Interview on </w:t>
      </w:r>
      <w:r w:rsidRPr="00816A93">
        <w:rPr>
          <w:rStyle w:val="Network-bodytext"/>
          <w:i/>
        </w:rPr>
        <w:t>Meet the Press</w:t>
      </w:r>
      <w:r w:rsidRPr="001F538E">
        <w:rPr>
          <w:rStyle w:val="Network-bodytext"/>
        </w:rPr>
        <w:t xml:space="preserve">, 20 December (transcript published in the Daily Labor Report, Bureau of National Affairs, Washington DC). </w:t>
      </w:r>
    </w:p>
    <w:p w:rsidR="001127F7" w:rsidRPr="00FA1632" w:rsidRDefault="001127F7" w:rsidP="001127F7">
      <w:pPr>
        <w:spacing w:before="0"/>
        <w:rPr>
          <w:rStyle w:val="Network-bodytext"/>
          <w:rFonts w:eastAsia="Calibri"/>
        </w:rPr>
      </w:pPr>
    </w:p>
    <w:p w:rsidR="001127F7" w:rsidRPr="00FA1632" w:rsidRDefault="001127F7" w:rsidP="001127F7">
      <w:pPr>
        <w:spacing w:before="0"/>
        <w:rPr>
          <w:rFonts w:eastAsia="Calibri" w:cs="Arial"/>
          <w:lang w:eastAsia="en-US"/>
        </w:rPr>
      </w:pPr>
    </w:p>
    <w:p w:rsidR="0062343B" w:rsidRPr="00FA1632" w:rsidRDefault="0062343B" w:rsidP="0062343B">
      <w:pPr>
        <w:spacing w:before="0" w:line="240" w:lineRule="auto"/>
        <w:rPr>
          <w:rFonts w:eastAsia="Calibri" w:cs="Arial"/>
          <w:b/>
          <w:lang w:eastAsia="en-US"/>
        </w:rPr>
      </w:pPr>
    </w:p>
    <w:p w:rsidR="0062343B" w:rsidRPr="00F570D6" w:rsidRDefault="0062343B" w:rsidP="00222AE3">
      <w:pPr>
        <w:pStyle w:val="BodyText"/>
        <w:spacing w:before="120" w:after="120" w:line="240" w:lineRule="auto"/>
        <w:rPr>
          <w:rFonts w:ascii="Arial" w:hAnsi="Arial" w:cs="Arial"/>
          <w:i/>
        </w:rPr>
        <w:sectPr w:rsidR="0062343B" w:rsidRPr="00F570D6" w:rsidSect="008D0071">
          <w:headerReference w:type="default" r:id="rId16"/>
          <w:endnotePr>
            <w:numFmt w:val="decimal"/>
          </w:endnotePr>
          <w:type w:val="continuous"/>
          <w:pgSz w:w="11906" w:h="16838" w:code="9"/>
          <w:pgMar w:top="1985" w:right="851" w:bottom="1134" w:left="851" w:header="567" w:footer="567" w:gutter="0"/>
          <w:pgNumType w:start="1"/>
          <w:cols w:num="2" w:space="708" w:equalWidth="0">
            <w:col w:w="4748" w:space="708"/>
            <w:col w:w="4748"/>
          </w:cols>
          <w:titlePg/>
          <w:docGrid w:linePitch="360"/>
        </w:sectPr>
      </w:pPr>
    </w:p>
    <w:p w:rsidR="00F931E4" w:rsidRPr="001211CB" w:rsidRDefault="009A44DA" w:rsidP="00F931E4">
      <w:pPr>
        <w:pStyle w:val="Heading1"/>
        <w:spacing w:line="240" w:lineRule="auto"/>
        <w:rPr>
          <w:rFonts w:cs="Arial"/>
        </w:rPr>
      </w:pPr>
      <w:r w:rsidRPr="001211CB">
        <w:rPr>
          <w:rFonts w:cs="Arial"/>
        </w:rPr>
        <w:lastRenderedPageBreak/>
        <w:t>Critical Issues i</w:t>
      </w:r>
      <w:bookmarkStart w:id="1" w:name="OLE_LINK17"/>
      <w:bookmarkStart w:id="2" w:name="OLE_LINK18"/>
      <w:bookmarkStart w:id="3" w:name="OLE_LINK19"/>
      <w:bookmarkStart w:id="4" w:name="OLE_LINK20"/>
      <w:r w:rsidR="00073D6D" w:rsidRPr="001211CB">
        <w:rPr>
          <w:rFonts w:cs="Arial"/>
        </w:rPr>
        <w:t>n Regulation – From the Journal</w:t>
      </w:r>
      <w:bookmarkEnd w:id="1"/>
      <w:bookmarkEnd w:id="2"/>
      <w:bookmarkEnd w:id="3"/>
      <w:bookmarkEnd w:id="4"/>
      <w:r w:rsidR="003142E8" w:rsidRPr="001211CB">
        <w:rPr>
          <w:rFonts w:cs="Arial"/>
        </w:rPr>
        <w:t>s</w:t>
      </w:r>
    </w:p>
    <w:p w:rsidR="00F931E4" w:rsidRPr="001211CB" w:rsidRDefault="00F931E4" w:rsidP="00F931E4">
      <w:pPr>
        <w:pStyle w:val="Heading2"/>
        <w:spacing w:before="240" w:after="240"/>
        <w:rPr>
          <w:rFonts w:cs="Arial"/>
        </w:rPr>
        <w:sectPr w:rsidR="00F931E4" w:rsidRPr="001211CB" w:rsidSect="00556789">
          <w:footerReference w:type="default" r:id="rId17"/>
          <w:endnotePr>
            <w:numFmt w:val="decimal"/>
          </w:endnotePr>
          <w:pgSz w:w="11906" w:h="16838" w:code="9"/>
          <w:pgMar w:top="1985" w:right="851" w:bottom="1134" w:left="851" w:header="567" w:footer="567" w:gutter="0"/>
          <w:cols w:space="708"/>
          <w:docGrid w:linePitch="360"/>
        </w:sectPr>
      </w:pPr>
    </w:p>
    <w:p w:rsidR="00987EE4" w:rsidRPr="002A64C3" w:rsidRDefault="00987EE4" w:rsidP="00987EE4">
      <w:pPr>
        <w:rPr>
          <w:rStyle w:val="Network-bodytext"/>
          <w:rFonts w:eastAsia="Calibri"/>
        </w:rPr>
      </w:pPr>
      <w:r>
        <w:rPr>
          <w:rStyle w:val="Heading3Char"/>
        </w:rPr>
        <w:lastRenderedPageBreak/>
        <w:t>The Economics of Organizing Economists</w:t>
      </w:r>
      <w:r w:rsidRPr="002A64C3">
        <w:rPr>
          <w:rStyle w:val="Network-bodytext"/>
          <w:rFonts w:eastAsia="Calibri"/>
        </w:rPr>
        <w:t xml:space="preserve">, </w:t>
      </w:r>
      <w:r>
        <w:rPr>
          <w:rStyle w:val="Network-bodytext"/>
          <w:rFonts w:eastAsia="Calibri"/>
        </w:rPr>
        <w:t>Luke Froeb, Paul A Pautler, and Lars-Hendrik R</w:t>
      </w:r>
      <w:r w:rsidRPr="002A64C3">
        <w:rPr>
          <w:rFonts w:eastAsia="Calibri"/>
          <w:bCs/>
          <w:color w:val="595959"/>
          <w:kern w:val="36"/>
        </w:rPr>
        <w:t>ö</w:t>
      </w:r>
      <w:r>
        <w:rPr>
          <w:rFonts w:eastAsia="Calibri"/>
          <w:bCs/>
          <w:color w:val="595959"/>
          <w:kern w:val="36"/>
        </w:rPr>
        <w:t>ller, Vanderbilt University Law School, Law and Economics Working Paper Number 08-18</w:t>
      </w:r>
      <w:r w:rsidRPr="002A64C3">
        <w:rPr>
          <w:rStyle w:val="Network-bodytext"/>
          <w:rFonts w:eastAsia="Calibri"/>
        </w:rPr>
        <w:t>.</w:t>
      </w:r>
    </w:p>
    <w:p w:rsidR="00987EE4" w:rsidRPr="003E7B10" w:rsidRDefault="00987EE4" w:rsidP="00987EE4">
      <w:pPr>
        <w:rPr>
          <w:rStyle w:val="Network-bodytext"/>
          <w:rFonts w:eastAsia="Calibri"/>
        </w:rPr>
      </w:pPr>
      <w:r w:rsidRPr="003E7B10">
        <w:rPr>
          <w:rStyle w:val="Network-bodytext"/>
          <w:rFonts w:eastAsia="Calibri"/>
        </w:rPr>
        <w:t>This article, which was first posted in July 2008 and revised in November 2012, addresses the issue of organising economists within a competition agency.  The authors, Luke Froeb, Paul A Pautler and Lars-Hendrik Röller, contend that antitrust law is moving towards an effects-based approach.  They further argue that, focusing on the economic impact of behaviour rather than on its form, means that integrating economic analysis into enforcement decisions has become increasingly important.  The authors argue that a functionally organised competition agency, with economists in their own section, produces higher-quality analysis than having the economists spread across divisions.  However, focusing the analysis on questions of interest and integrating the economic analysis into the decision-making process, are more difficult when the economists are separate than with a divisional form, where economists and attorneys are put together in sections organised around specific sectors or industries.  This paper analyses the trade-off between these two institutional arrangements, with a particular focus on the role of economists in competition agencies around the world.  Jurisdictions referred to in this paper include the European Union, Sweden, the United Kingdom and the United States.  The authors conclude that an effective functional organisation requires strong horizontal links across the legal and economic sections, and that an effective divisional organisation requires both independent economic and attorney recommendations, and managers who possess functional expertise in both economics and the law.  There are 31 items in the reference list.</w:t>
      </w:r>
    </w:p>
    <w:p w:rsidR="00987EE4" w:rsidRPr="003E7B10" w:rsidRDefault="00987EE4" w:rsidP="00987EE4">
      <w:pPr>
        <w:rPr>
          <w:rStyle w:val="Network-bodytext"/>
          <w:rFonts w:eastAsia="Calibri"/>
        </w:rPr>
      </w:pPr>
      <w:r w:rsidRPr="003E7B10">
        <w:rPr>
          <w:rStyle w:val="Network-bodytext"/>
          <w:rFonts w:eastAsia="Calibri"/>
        </w:rPr>
        <w:t xml:space="preserve">This article, which is a little older than those usually included in ‘From the Journals’, can be downloaded without charge </w:t>
      </w:r>
      <w:hyperlink r:id="rId18" w:history="1">
        <w:r w:rsidRPr="003E7B10">
          <w:rPr>
            <w:rStyle w:val="Network-bodytext"/>
            <w:rFonts w:eastAsia="Calibri"/>
            <w:u w:val="single"/>
          </w:rPr>
          <w:t>by clicking here.</w:t>
        </w:r>
      </w:hyperlink>
    </w:p>
    <w:p w:rsidR="00680D66" w:rsidRPr="002A64C3" w:rsidRDefault="00680D66" w:rsidP="00680D66">
      <w:pPr>
        <w:rPr>
          <w:rStyle w:val="Network-bodytext"/>
          <w:rFonts w:eastAsia="Calibri"/>
        </w:rPr>
      </w:pPr>
      <w:r w:rsidRPr="002A64C3">
        <w:rPr>
          <w:b/>
          <w:bCs/>
          <w:color w:val="31849B"/>
          <w:sz w:val="22"/>
        </w:rPr>
        <w:t>Rethinking Regulation</w:t>
      </w:r>
      <w:r w:rsidRPr="002A64C3">
        <w:rPr>
          <w:rStyle w:val="Network-bodytext"/>
          <w:rFonts w:eastAsia="Calibri"/>
        </w:rPr>
        <w:t xml:space="preserve">, </w:t>
      </w:r>
      <w:r>
        <w:rPr>
          <w:rStyle w:val="Network-bodytext"/>
          <w:rFonts w:eastAsia="Calibri"/>
        </w:rPr>
        <w:t xml:space="preserve">Kenneth W Costello, </w:t>
      </w:r>
      <w:r>
        <w:rPr>
          <w:rStyle w:val="Network-bodytext"/>
          <w:rFonts w:eastAsia="Calibri"/>
          <w:i/>
        </w:rPr>
        <w:t>Public Utilities Fortnightly</w:t>
      </w:r>
      <w:r>
        <w:rPr>
          <w:rStyle w:val="Network-bodytext"/>
          <w:rFonts w:eastAsia="Calibri"/>
        </w:rPr>
        <w:t>, 153, 3, March 2015, pp. 34-37, 58-59</w:t>
      </w:r>
      <w:r w:rsidRPr="002A64C3">
        <w:rPr>
          <w:rStyle w:val="Network-bodytext"/>
          <w:rFonts w:eastAsia="Calibri"/>
        </w:rPr>
        <w:t>.</w:t>
      </w:r>
    </w:p>
    <w:p w:rsidR="00680D66" w:rsidRPr="003E7B10" w:rsidRDefault="00680D66" w:rsidP="00680D66">
      <w:pPr>
        <w:rPr>
          <w:rStyle w:val="Network-bodytext"/>
          <w:rFonts w:eastAsia="Calibri"/>
        </w:rPr>
      </w:pPr>
      <w:r w:rsidRPr="003E7B10">
        <w:rPr>
          <w:rStyle w:val="Network-bodytext"/>
          <w:rFonts w:eastAsia="Calibri"/>
        </w:rPr>
        <w:t xml:space="preserve">This paper is about policy-making for the regulation of the electricity industry, particularly in light of the advent of distributed generation (DG) and the ‘smart grid’.  The author, Kenneth Costello, a principal researcher with the National Regulatory Research Institute at Ohio State University, has been writing about regulation of the US electricity market for over </w:t>
      </w:r>
      <w:r w:rsidRPr="003E7B10">
        <w:rPr>
          <w:rStyle w:val="Network-bodytext"/>
          <w:rFonts w:eastAsia="Calibri"/>
        </w:rPr>
        <w:lastRenderedPageBreak/>
        <w:t xml:space="preserve">twenty years.  This paper considers policies in the light of their consequences for both economic efficiency and ‘fairness’.  There are five main headings in the article:  new technologies; business models; rate designs; social mandates; and predicting the future.  </w:t>
      </w:r>
    </w:p>
    <w:p w:rsidR="00680D66" w:rsidRPr="003E7B10" w:rsidRDefault="00680D66" w:rsidP="00680D66">
      <w:pPr>
        <w:rPr>
          <w:rStyle w:val="Network-bodytext"/>
          <w:rFonts w:eastAsia="Calibri"/>
        </w:rPr>
      </w:pPr>
      <w:r w:rsidRPr="003E7B10">
        <w:rPr>
          <w:rStyle w:val="Network-bodytext"/>
          <w:rFonts w:eastAsia="Calibri"/>
        </w:rPr>
        <w:t xml:space="preserve">The author criticises the steeply tiered inclining-block tariffs used in some jurisdictions, which, in his view, instead of protecting low-usage and lower-income users, have resulted in the installation of solar photo-voltaic (PV) systems by higher-usage and often higher-income users.  He claims that this has resulted in both economic inefficiency and redistribution of wealth towards higher-income customers.  Kenneth Costello also makes observations on forecasting the demand for electricity, suggesting that forecasts be evaluated according to their objectivity.  He suggests that particular caution needs to be exercised where predictions come from ‘interest groups with a quasi-moralistic or profit-making agenda’.  </w:t>
      </w:r>
    </w:p>
    <w:p w:rsidR="00680D66" w:rsidRPr="003E7B10" w:rsidRDefault="00680D66" w:rsidP="00680D66">
      <w:pPr>
        <w:rPr>
          <w:rStyle w:val="Network-bodytext"/>
          <w:rFonts w:eastAsia="Calibri"/>
        </w:rPr>
      </w:pPr>
      <w:r w:rsidRPr="003E7B10">
        <w:rPr>
          <w:rStyle w:val="Network-bodytext"/>
          <w:rFonts w:eastAsia="Calibri"/>
        </w:rPr>
        <w:t>Finally, the author suggests that policy-makers should be hesitant about making commitments now when there is uncertainty because there may be an option value from delaying the decision.  The author also broadly favours market outcomes over interventionist ones; particularly the use of subsidies, where the costs are hidden and which, in his view, will ‘usually fail a cost-benefit test’.  Real-time pricing is more generally favoured.</w:t>
      </w:r>
    </w:p>
    <w:p w:rsidR="00680D66" w:rsidRPr="003E7B10" w:rsidRDefault="00680D66" w:rsidP="00680D66">
      <w:pPr>
        <w:rPr>
          <w:rStyle w:val="Network-bodytext"/>
          <w:rFonts w:eastAsia="Calibri"/>
        </w:rPr>
      </w:pPr>
      <w:r w:rsidRPr="003E7B10">
        <w:rPr>
          <w:rStyle w:val="Network-bodytext"/>
          <w:rFonts w:eastAsia="Calibri"/>
        </w:rPr>
        <w:t xml:space="preserve">This article can be accessed by subscription to </w:t>
      </w:r>
      <w:r w:rsidRPr="00760BBE">
        <w:rPr>
          <w:rStyle w:val="Network-bodytext"/>
          <w:rFonts w:eastAsia="Calibri"/>
          <w:i/>
        </w:rPr>
        <w:t>Public Utilities Fortnightly</w:t>
      </w:r>
      <w:r w:rsidRPr="003E7B10">
        <w:rPr>
          <w:rStyle w:val="Network-bodytext"/>
          <w:rFonts w:eastAsia="Calibri"/>
        </w:rPr>
        <w:t>.</w:t>
      </w:r>
    </w:p>
    <w:p w:rsidR="00680D66" w:rsidRPr="002A64C3" w:rsidRDefault="00680D66" w:rsidP="00680D66">
      <w:pPr>
        <w:rPr>
          <w:rStyle w:val="Network-bodytext"/>
          <w:rFonts w:eastAsia="Calibri"/>
        </w:rPr>
      </w:pPr>
      <w:r>
        <w:rPr>
          <w:rStyle w:val="Heading3Char"/>
        </w:rPr>
        <w:t>Demand Response in Adjustment Markets for Electricity</w:t>
      </w:r>
      <w:r w:rsidRPr="002A64C3">
        <w:rPr>
          <w:rStyle w:val="Network-bodytext"/>
          <w:rFonts w:eastAsia="Calibri"/>
        </w:rPr>
        <w:t xml:space="preserve">, </w:t>
      </w:r>
      <w:r>
        <w:rPr>
          <w:rStyle w:val="Network-bodytext"/>
          <w:rFonts w:eastAsia="Calibri"/>
        </w:rPr>
        <w:t xml:space="preserve">Claude Crampes and Thomas-Olivier </w:t>
      </w:r>
      <w:r w:rsidRPr="00AF072C">
        <w:rPr>
          <w:rFonts w:eastAsia="Calibri"/>
          <w:bCs/>
          <w:color w:val="595959"/>
          <w:kern w:val="36"/>
        </w:rPr>
        <w:t>Léautier</w:t>
      </w:r>
      <w:r>
        <w:rPr>
          <w:rFonts w:eastAsia="Calibri"/>
          <w:bCs/>
          <w:color w:val="595959"/>
          <w:kern w:val="36"/>
        </w:rPr>
        <w:t xml:space="preserve">, </w:t>
      </w:r>
      <w:r w:rsidRPr="00AF072C">
        <w:rPr>
          <w:rFonts w:eastAsia="Calibri"/>
          <w:bCs/>
          <w:i/>
          <w:color w:val="595959"/>
          <w:kern w:val="36"/>
        </w:rPr>
        <w:t>Journal of Regulatory Economics</w:t>
      </w:r>
      <w:r>
        <w:rPr>
          <w:rFonts w:eastAsia="Calibri"/>
          <w:bCs/>
          <w:color w:val="595959"/>
          <w:kern w:val="36"/>
        </w:rPr>
        <w:t>, 48, 2, October 2015, pp. 169-193</w:t>
      </w:r>
      <w:r w:rsidRPr="002A64C3">
        <w:rPr>
          <w:rStyle w:val="Network-bodytext"/>
          <w:rFonts w:eastAsia="Calibri"/>
        </w:rPr>
        <w:t xml:space="preserve">.  </w:t>
      </w:r>
    </w:p>
    <w:p w:rsidR="00680D66" w:rsidRPr="003E7B10" w:rsidRDefault="00680D66" w:rsidP="00680D66">
      <w:pPr>
        <w:rPr>
          <w:rStyle w:val="Network-bodytext"/>
          <w:rFonts w:eastAsia="Calibri"/>
        </w:rPr>
      </w:pPr>
      <w:r w:rsidRPr="003E7B10">
        <w:rPr>
          <w:rStyle w:val="Network-bodytext"/>
          <w:rFonts w:eastAsia="Calibri"/>
        </w:rPr>
        <w:t xml:space="preserve">This article examines the participation of consumers in adjustment markets for electricity in the context where economic efficiency (which is equated with economic welfare) is the goal of economic policy.  The authors, Claude Crampes and Thomas-Olivier Léautier, are professors at the Toulouse School of Economics.  Section headings in the article are:  introduction; the benchmark model; contracts under asymmetric information; welfare comparison; regulatory issues; and conclusion.  The exposition is technical, and the particularly technical material (proofs) is contained in an appendix.  There are seventeen items in the reference list. </w:t>
      </w:r>
    </w:p>
    <w:p w:rsidR="00680D66" w:rsidRPr="003E7B10" w:rsidRDefault="00680D66" w:rsidP="00680D66">
      <w:pPr>
        <w:rPr>
          <w:rStyle w:val="Network-bodytext"/>
          <w:rFonts w:eastAsia="Calibri"/>
        </w:rPr>
      </w:pPr>
      <w:r w:rsidRPr="003E7B10">
        <w:rPr>
          <w:rStyle w:val="Network-bodytext"/>
          <w:rFonts w:eastAsia="Calibri"/>
        </w:rPr>
        <w:lastRenderedPageBreak/>
        <w:t>Adjustment markets enable participants to respond to random supply shocks occurring after quantities have been contracted.  If markets were perfect, opening the adjustment market to consumers would always increase ex post economic efficiency (and hence, economic welfare).  In reality, markets are imperfect, and some consumers hold private information on their value for electricity, giving rise to informational asymmetry.  The authors demonstrate that, under such information asymmetry, allowing consumers to participate in the adjustment market may actually reduce economic welfare.  This arises because electricity suppliers in the model propose inefficient ex ante retail contracts to make them incentive compatible and to limit the information rents they must ‘leave on the table’ for consumers to prevent them from misreporting their private information.  If the value of ex post efficiency gains due to consumers’ participation in adjustment markets is low, whereas the information distortion is high, the overall net effect is a decrease in economic welfare.</w:t>
      </w:r>
    </w:p>
    <w:p w:rsidR="00680D66" w:rsidRPr="003E7B10" w:rsidRDefault="00680D66" w:rsidP="00680D66">
      <w:pPr>
        <w:rPr>
          <w:rStyle w:val="Network-bodytext"/>
          <w:rFonts w:eastAsia="Calibri"/>
        </w:rPr>
      </w:pPr>
      <w:r w:rsidRPr="003E7B10">
        <w:rPr>
          <w:rStyle w:val="Network-bodytext"/>
          <w:rFonts w:eastAsia="Calibri"/>
        </w:rPr>
        <w:t xml:space="preserve">This article can be accessed by on-line purchase or by subscription to the </w:t>
      </w:r>
      <w:r w:rsidRPr="00760BBE">
        <w:rPr>
          <w:rStyle w:val="Network-bodytext"/>
          <w:rFonts w:eastAsia="Calibri"/>
          <w:i/>
        </w:rPr>
        <w:t>Journal of Regulatory Economics</w:t>
      </w:r>
      <w:r w:rsidRPr="003E7B10">
        <w:rPr>
          <w:rStyle w:val="Network-bodytext"/>
          <w:rFonts w:eastAsia="Calibri"/>
        </w:rPr>
        <w:t>.</w:t>
      </w:r>
    </w:p>
    <w:p w:rsidR="00680D66" w:rsidRPr="002A64C3" w:rsidRDefault="00680D66" w:rsidP="00680D66">
      <w:pPr>
        <w:rPr>
          <w:rStyle w:val="Network-bodytext"/>
          <w:rFonts w:eastAsia="Calibri"/>
        </w:rPr>
      </w:pPr>
      <w:r>
        <w:rPr>
          <w:rStyle w:val="Heading3Char"/>
        </w:rPr>
        <w:t>Fixed-Mobile Substitution and Termination Rates</w:t>
      </w:r>
      <w:r w:rsidRPr="002A64C3">
        <w:rPr>
          <w:rStyle w:val="Network-bodytext"/>
          <w:rFonts w:eastAsia="Calibri"/>
        </w:rPr>
        <w:t xml:space="preserve">, </w:t>
      </w:r>
      <w:r>
        <w:rPr>
          <w:rStyle w:val="Network-bodytext"/>
          <w:rFonts w:eastAsia="Calibri"/>
        </w:rPr>
        <w:t xml:space="preserve">Steffen Hoernig, Marc Bourreau, and Carlo Cambini, </w:t>
      </w:r>
      <w:r w:rsidRPr="00AF072C">
        <w:rPr>
          <w:rStyle w:val="Network-bodytext"/>
          <w:rFonts w:eastAsia="Calibri"/>
          <w:i/>
        </w:rPr>
        <w:t>Telecommunications Policy</w:t>
      </w:r>
      <w:r>
        <w:rPr>
          <w:rStyle w:val="Network-bodytext"/>
          <w:rFonts w:eastAsia="Calibri"/>
        </w:rPr>
        <w:t>, 39, February 2015, pp. 66-76</w:t>
      </w:r>
      <w:r w:rsidRPr="002A64C3">
        <w:rPr>
          <w:rStyle w:val="Network-bodytext"/>
          <w:rFonts w:eastAsia="Calibri"/>
        </w:rPr>
        <w:t>.</w:t>
      </w:r>
    </w:p>
    <w:p w:rsidR="00680D66" w:rsidRPr="003E7B10" w:rsidRDefault="00680D66" w:rsidP="00680D66">
      <w:pPr>
        <w:rPr>
          <w:rStyle w:val="Network-bodytext"/>
          <w:rFonts w:eastAsia="Calibri"/>
        </w:rPr>
      </w:pPr>
      <w:r w:rsidRPr="003E7B10">
        <w:rPr>
          <w:rStyle w:val="Network-bodytext"/>
          <w:rFonts w:eastAsia="Calibri"/>
        </w:rPr>
        <w:t>This paper studies the effect of termination rates on both fixed-line and mobile networks on the observed substitution between fixed and mobile calls and between subscriber access.  The paper is structured as follows: an introduction to the paper contains a review of the theoretical and empirical literature on fixed-to-mobile substitution and the ‘waterbed effect’; section two sets up the model and develops the pricing equilibrium; section three sets out the simulation results for the effects of termination rates on subscriptions and optimal termination rates; the fourth section contains the conclusions; and an appendix contains the more technical proofs.  There are 24 items in the reference list, mainly being to journal articles (for example, The Journal of Regulatory Economics, Information Economics and Policy and Telecommunications Policy) with years of publication ranging from 1998 to 2014, and being concentrated around 2002-2003 and 2009-2012.</w:t>
      </w:r>
    </w:p>
    <w:p w:rsidR="00680D66" w:rsidRPr="003E7B10" w:rsidRDefault="00680D66" w:rsidP="00680D66">
      <w:pPr>
        <w:rPr>
          <w:rStyle w:val="Network-bodytext"/>
          <w:rFonts w:eastAsia="Calibri"/>
        </w:rPr>
      </w:pPr>
      <w:r w:rsidRPr="003E7B10">
        <w:rPr>
          <w:rStyle w:val="Network-bodytext"/>
          <w:rFonts w:eastAsia="Calibri"/>
        </w:rPr>
        <w:t xml:space="preserve">The authors observe that fixed-line termination charges have long been heavily regulated to cost; while mobile termination charges have only recently been subject to regulation, with regulated charges set above cost.  The authors present what they see as a ‘tremendous success’ in mobile telecommunications, and attribute this in part to the high mobile termination rates having a positive effect on mobile </w:t>
      </w:r>
      <w:r w:rsidRPr="003E7B10">
        <w:rPr>
          <w:rStyle w:val="Network-bodytext"/>
          <w:rFonts w:eastAsia="Calibri"/>
        </w:rPr>
        <w:lastRenderedPageBreak/>
        <w:t xml:space="preserve">subscription.  Numerical simulations are used to analyse the effects of fixed and mobile termination rates on the number of fixed and mobile users.    </w:t>
      </w:r>
    </w:p>
    <w:p w:rsidR="00680D66" w:rsidRPr="003E7B10" w:rsidRDefault="00680D66" w:rsidP="00680D66">
      <w:pPr>
        <w:rPr>
          <w:rStyle w:val="Network-bodytext"/>
          <w:rFonts w:eastAsia="Calibri"/>
        </w:rPr>
      </w:pPr>
      <w:r w:rsidRPr="003E7B10">
        <w:rPr>
          <w:rStyle w:val="Network-bodytext"/>
          <w:rFonts w:eastAsia="Calibri"/>
        </w:rPr>
        <w:t xml:space="preserve">The article can be purchased on-line or by subscription to </w:t>
      </w:r>
      <w:r w:rsidRPr="00760BBE">
        <w:rPr>
          <w:rStyle w:val="Network-bodytext"/>
          <w:rFonts w:eastAsia="Calibri"/>
          <w:i/>
        </w:rPr>
        <w:t>Telecommunications Policy</w:t>
      </w:r>
      <w:r w:rsidRPr="003E7B10">
        <w:rPr>
          <w:rStyle w:val="Network-bodytext"/>
          <w:rFonts w:eastAsia="Calibri"/>
        </w:rPr>
        <w:t>.</w:t>
      </w:r>
    </w:p>
    <w:p w:rsidR="00680D66" w:rsidRPr="002A64C3" w:rsidRDefault="00680D66" w:rsidP="00680D66">
      <w:pPr>
        <w:rPr>
          <w:rStyle w:val="Network-bodytext"/>
          <w:rFonts w:eastAsia="Calibri"/>
        </w:rPr>
      </w:pPr>
      <w:r>
        <w:rPr>
          <w:rStyle w:val="Heading3Char"/>
        </w:rPr>
        <w:t>The Capital Structure of a Firm under Rate of Return Regulation: Durability and the Yield Curve</w:t>
      </w:r>
      <w:r w:rsidRPr="002A64C3">
        <w:rPr>
          <w:rStyle w:val="Network-bodytext"/>
          <w:rFonts w:eastAsia="Calibri"/>
        </w:rPr>
        <w:t xml:space="preserve">, </w:t>
      </w:r>
      <w:r>
        <w:rPr>
          <w:rStyle w:val="Network-bodytext"/>
          <w:rFonts w:eastAsia="Calibri"/>
        </w:rPr>
        <w:t xml:space="preserve">Garret Kent Fellows, </w:t>
      </w:r>
      <w:r w:rsidRPr="00325AEF">
        <w:rPr>
          <w:rStyle w:val="Network-bodytext"/>
          <w:rFonts w:eastAsia="Calibri"/>
          <w:i/>
        </w:rPr>
        <w:t>Journal of Regulatory Economics</w:t>
      </w:r>
      <w:r>
        <w:rPr>
          <w:rStyle w:val="Network-bodytext"/>
          <w:rFonts w:eastAsia="Calibri"/>
        </w:rPr>
        <w:t>, 47, 2015, pp. 273-299</w:t>
      </w:r>
      <w:r w:rsidRPr="002A64C3">
        <w:rPr>
          <w:rStyle w:val="Network-bodytext"/>
          <w:rFonts w:eastAsia="Calibri"/>
        </w:rPr>
        <w:t>.</w:t>
      </w:r>
    </w:p>
    <w:p w:rsidR="00680D66" w:rsidRPr="003E7B10" w:rsidRDefault="00680D66" w:rsidP="00680D66">
      <w:pPr>
        <w:rPr>
          <w:rStyle w:val="Network-bodytext"/>
          <w:rFonts w:eastAsia="Calibri"/>
        </w:rPr>
      </w:pPr>
      <w:r w:rsidRPr="003E7B10">
        <w:rPr>
          <w:rStyle w:val="Network-bodytext"/>
          <w:rFonts w:eastAsia="Calibri"/>
        </w:rPr>
        <w:t xml:space="preserve">This paper contains the author’s presentation of a generalised dynamic model of business behaviour under rate-of-return regulation.  The model and results presented in this paper extend the standard Averch-Johnson (AJ) interpretation of overcapitalisation and provide important new implications.  These novel features relate to amortisation and cost-of-capital considerations.  The author, Garret Kent Fellows, claims that the assumptions underlying his model are more realistic than the ‘static workhorse AJ model’, and that the results are more directly applicable to real-world regulation.  In the real world, historical investment and amortisation decisions determine much of a business’s revenue requirement and, ultimately, the profits and regulated price.  The results in this model are similar to (yet distinct from) the classic Averch-Johnson effect.  While this is a technical economic model, the body of the paper is as non-technical as possible, and the very complicated material is contained in appendices.  There are 32 items in the list of references. </w:t>
      </w:r>
    </w:p>
    <w:p w:rsidR="00680D66" w:rsidRPr="003E7B10" w:rsidRDefault="00680D66" w:rsidP="00680D66">
      <w:pPr>
        <w:rPr>
          <w:rStyle w:val="Network-bodytext"/>
          <w:rFonts w:eastAsia="Calibri"/>
        </w:rPr>
      </w:pPr>
      <w:r w:rsidRPr="003E7B10">
        <w:rPr>
          <w:rStyle w:val="Network-bodytext"/>
          <w:rFonts w:eastAsia="Calibri"/>
        </w:rPr>
        <w:t xml:space="preserve">The modelled business has access to multiple types of capital which are substitutes (imperfect or perfect) in production.  These capital inputs are differentiated based on durability and heterogeneous marginal effects on the business’s total cost of capital.  This approach is kept general but is motivated by the stylised shape of the bond-yield curve, wherein high-durability (longer-lived) assets command a higher required return on investment (higher bond yield).  The results indicate that a regulated business (relative to an unregulated business) will over- or under-invest in specific assets depending on their durability and the size of the assets’ marginal effects on the cost of capital relative to the regulated rate of return.  Two specific sources of distortion in the capital structure are identified.  First, the ‘yield curve’ effect pushes the business further (relative to the unconstrained case) towards assets with a low marginal contribution to the cost of capital, thus reducing the business’s average cost of capital.  Second, the ‘duration’ effect pushes the business towards longer-lived assets as a means of inflating the steady-state capital stock.  </w:t>
      </w:r>
    </w:p>
    <w:p w:rsidR="00680D66" w:rsidRPr="003E7B10" w:rsidRDefault="00680D66" w:rsidP="00680D66">
      <w:pPr>
        <w:rPr>
          <w:rStyle w:val="Network-bodytext"/>
          <w:rFonts w:eastAsia="Calibri"/>
        </w:rPr>
      </w:pPr>
      <w:r w:rsidRPr="003E7B10">
        <w:rPr>
          <w:rStyle w:val="Network-bodytext"/>
          <w:rFonts w:eastAsia="Calibri"/>
        </w:rPr>
        <w:lastRenderedPageBreak/>
        <w:t xml:space="preserve">This article can be accessed by on-line purchase or by subscription to the </w:t>
      </w:r>
      <w:r w:rsidRPr="00760BBE">
        <w:rPr>
          <w:rStyle w:val="Network-bodytext"/>
          <w:rFonts w:eastAsia="Calibri"/>
          <w:i/>
        </w:rPr>
        <w:t>Journal of Regulatory Economics</w:t>
      </w:r>
      <w:r w:rsidRPr="003E7B10">
        <w:rPr>
          <w:rStyle w:val="Network-bodytext"/>
          <w:rFonts w:eastAsia="Calibri"/>
        </w:rPr>
        <w:t>.</w:t>
      </w:r>
    </w:p>
    <w:p w:rsidR="00680D66" w:rsidRPr="002A64C3" w:rsidRDefault="00680D66" w:rsidP="00680D66">
      <w:pPr>
        <w:rPr>
          <w:rStyle w:val="Network-bodytext"/>
          <w:rFonts w:eastAsia="Calibri"/>
        </w:rPr>
      </w:pPr>
      <w:r>
        <w:rPr>
          <w:rStyle w:val="Heading3Char"/>
        </w:rPr>
        <w:t>Risk and Regulation in Water Utilities: A Cross-country Comparison of Evidence from the CAPM</w:t>
      </w:r>
      <w:r w:rsidRPr="002A64C3">
        <w:rPr>
          <w:rStyle w:val="Network-bodytext"/>
          <w:rFonts w:eastAsia="Calibri"/>
        </w:rPr>
        <w:t xml:space="preserve">, </w:t>
      </w:r>
      <w:r>
        <w:rPr>
          <w:rStyle w:val="Network-bodytext"/>
          <w:rFonts w:eastAsia="Calibri"/>
        </w:rPr>
        <w:t xml:space="preserve">Roger Buckland, Julian Williams, and Janice Beecher, </w:t>
      </w:r>
      <w:r>
        <w:rPr>
          <w:rStyle w:val="Network-bodytext"/>
          <w:rFonts w:eastAsia="Calibri"/>
          <w:i/>
        </w:rPr>
        <w:t>Journal of Regulatory Economics</w:t>
      </w:r>
      <w:r>
        <w:rPr>
          <w:rStyle w:val="Network-bodytext"/>
          <w:rFonts w:eastAsia="Calibri"/>
        </w:rPr>
        <w:t>, 47, 2, April 2015, pp. 117-145</w:t>
      </w:r>
      <w:r w:rsidRPr="002A64C3">
        <w:rPr>
          <w:rStyle w:val="Network-bodytext"/>
          <w:rFonts w:eastAsia="Calibri"/>
        </w:rPr>
        <w:t>.</w:t>
      </w:r>
    </w:p>
    <w:p w:rsidR="00680D66" w:rsidRPr="003E7B10" w:rsidRDefault="00680D66" w:rsidP="00680D66">
      <w:pPr>
        <w:rPr>
          <w:rStyle w:val="Network-bodytext"/>
          <w:rFonts w:eastAsia="Calibri"/>
        </w:rPr>
      </w:pPr>
      <w:r w:rsidRPr="003E7B10">
        <w:rPr>
          <w:rStyle w:val="Network-bodytext"/>
          <w:rFonts w:eastAsia="Calibri"/>
        </w:rPr>
        <w:t>This paper addresses a core issue for the regulated utility:  What are the risks taken by investors in businesses that supply a product whose supply is regulated?  US utilities are generally regulated by setting a permitted return on book equity during periodic rate cases.  The permitted rate is intended to deliver a ’fair’ return to investors for the risks of the activity that they finance.  The fair return is understood to exceed the cost of capital.  Setting the return at the cost of capital would fully compensate investors for risk and allow utilities to attract financial capital, but regulators enhance the return for policy purposes, specifically to encourage socially beneficial investment providing a ‘return premium’ in addition to a ‘risk premium’.  In contrast, UK utilities have generally been regulated by price caps based on the RPI–X principle.  In establishing the level of X in the price cap, the regulator must assess what revenue stream is required to provide adequate compensation for the investment in the utility’s assets, considering the time and the risk involved in financing the utility.  There are 54 references; mainly to articles in academic journals and to reports from government agencies.</w:t>
      </w:r>
    </w:p>
    <w:p w:rsidR="00680D66" w:rsidRPr="003E7B10" w:rsidRDefault="00680D66" w:rsidP="00680D66">
      <w:pPr>
        <w:rPr>
          <w:rStyle w:val="Network-bodytext"/>
          <w:rFonts w:eastAsia="Calibri"/>
        </w:rPr>
      </w:pPr>
      <w:r w:rsidRPr="003E7B10">
        <w:rPr>
          <w:rStyle w:val="Network-bodytext"/>
          <w:rFonts w:eastAsia="Calibri"/>
        </w:rPr>
        <w:t xml:space="preserve">Prior research by two of the authors on returns of regulated water supply and distribution businesses concluded that regulation interacts significantly with equity returns, and that the systematic risk and hence required returns of water utilities’ equity were low and decreasing over time.  The research in this paper analyses the returns on securities issued by regulated water businesses in the differently regulated economies of the UK and the US, using data from 1980 to 2010.  Reflecting the results from the 1990s, the evidence suggests that UK regulators have chronically overestimated the systematic risks borne by investors in water utilities, resulting in lax pressure on permitted returns and higher prices than are needed for efficiency.  The analysis also confirms that there are differences between the regulatory risks and patterns of returns for private-sector water utilities in the UK and the US.  </w:t>
      </w:r>
    </w:p>
    <w:p w:rsidR="00680D66" w:rsidRPr="003E7B10" w:rsidRDefault="00680D66" w:rsidP="00680D66">
      <w:pPr>
        <w:rPr>
          <w:rStyle w:val="Network-bodytext"/>
          <w:rFonts w:eastAsia="Calibri"/>
        </w:rPr>
      </w:pPr>
      <w:r w:rsidRPr="003E7B10">
        <w:rPr>
          <w:rStyle w:val="Network-bodytext"/>
          <w:rFonts w:eastAsia="Calibri"/>
        </w:rPr>
        <w:t xml:space="preserve">This article can be accessed by on-line purchase or by subscription to the </w:t>
      </w:r>
      <w:r w:rsidRPr="00760BBE">
        <w:rPr>
          <w:rStyle w:val="Network-bodytext"/>
          <w:rFonts w:eastAsia="Calibri"/>
          <w:i/>
        </w:rPr>
        <w:t>Journal of Regulatory Economics</w:t>
      </w:r>
      <w:r w:rsidRPr="003E7B10">
        <w:rPr>
          <w:rStyle w:val="Network-bodytext"/>
          <w:rFonts w:eastAsia="Calibri"/>
        </w:rPr>
        <w:t>.</w:t>
      </w:r>
    </w:p>
    <w:p w:rsidR="00753F14" w:rsidRDefault="00753F14" w:rsidP="00680D66">
      <w:pPr>
        <w:rPr>
          <w:rStyle w:val="Heading3Char"/>
          <w:lang w:val="en-US"/>
        </w:rPr>
      </w:pPr>
    </w:p>
    <w:p w:rsidR="00753F14" w:rsidRPr="002A64C3" w:rsidRDefault="00753F14" w:rsidP="00753F14">
      <w:pPr>
        <w:rPr>
          <w:rStyle w:val="Network-bodytext"/>
          <w:rFonts w:eastAsia="Calibri"/>
        </w:rPr>
      </w:pPr>
      <w:r>
        <w:rPr>
          <w:rStyle w:val="Heading3Char"/>
          <w:lang w:val="en-US"/>
        </w:rPr>
        <w:lastRenderedPageBreak/>
        <w:t>Negotiate-Arbitrate R</w:t>
      </w:r>
      <w:r w:rsidR="00730106">
        <w:rPr>
          <w:rStyle w:val="Heading3Char"/>
          <w:lang w:val="en-US"/>
        </w:rPr>
        <w:t xml:space="preserve">egulation of Airport Services: </w:t>
      </w:r>
      <w:r>
        <w:rPr>
          <w:rStyle w:val="Heading3Char"/>
          <w:lang w:val="en-US"/>
        </w:rPr>
        <w:t>Twenty Years of Experience in Australia</w:t>
      </w:r>
      <w:r w:rsidRPr="002A64C3">
        <w:rPr>
          <w:rStyle w:val="Network-bodytext"/>
          <w:rFonts w:eastAsia="Calibri"/>
        </w:rPr>
        <w:t xml:space="preserve">, </w:t>
      </w:r>
      <w:r>
        <w:rPr>
          <w:rStyle w:val="Network-bodytext"/>
          <w:rFonts w:eastAsia="Calibri"/>
        </w:rPr>
        <w:t xml:space="preserve">Margaret Arblaster, </w:t>
      </w:r>
      <w:r w:rsidRPr="00753F14">
        <w:rPr>
          <w:rStyle w:val="Network-bodytext"/>
          <w:rFonts w:eastAsia="Calibri"/>
          <w:i/>
        </w:rPr>
        <w:t>Journal of Air Transport Management</w:t>
      </w:r>
      <w:r>
        <w:rPr>
          <w:rStyle w:val="Network-bodytext"/>
          <w:rFonts w:eastAsia="Calibri"/>
        </w:rPr>
        <w:t>, 51, March 2016, pp. 27-38</w:t>
      </w:r>
      <w:r w:rsidRPr="002A64C3">
        <w:rPr>
          <w:rStyle w:val="Network-bodytext"/>
          <w:rFonts w:eastAsia="Calibri"/>
        </w:rPr>
        <w:t xml:space="preserve">. </w:t>
      </w:r>
    </w:p>
    <w:p w:rsidR="00753F14" w:rsidRPr="00753F14" w:rsidRDefault="00753F14" w:rsidP="00753F14">
      <w:pPr>
        <w:spacing w:line="240" w:lineRule="auto"/>
        <w:rPr>
          <w:rFonts w:eastAsia="Calibri"/>
          <w:color w:val="595959"/>
          <w:kern w:val="36"/>
        </w:rPr>
      </w:pPr>
      <w:r w:rsidRPr="003E7B10">
        <w:rPr>
          <w:rStyle w:val="Network-bodytext"/>
          <w:rFonts w:eastAsia="Calibri"/>
        </w:rPr>
        <w:t>This paper is</w:t>
      </w:r>
      <w:r>
        <w:rPr>
          <w:rStyle w:val="Network-bodytext"/>
          <w:rFonts w:eastAsia="Calibri"/>
        </w:rPr>
        <w:t xml:space="preserve"> about the economic regulation of major airports.  </w:t>
      </w:r>
      <w:r w:rsidRPr="00753F14">
        <w:rPr>
          <w:rFonts w:eastAsia="Calibri"/>
          <w:color w:val="595959"/>
          <w:kern w:val="36"/>
        </w:rPr>
        <w:t>In many countries major airports are subject to some form of economic regulation because they have been considered to have monopoly characteristics. Over time, the development of competitive influences, such as through the growth of alternative airports and modes of transport, has led to debate over the extent to which there is competition between airports, and whether economic regulation of airports is warranted</w:t>
      </w:r>
      <w:r w:rsidR="00CD432B">
        <w:rPr>
          <w:rFonts w:eastAsia="Calibri"/>
          <w:color w:val="595959"/>
          <w:kern w:val="36"/>
        </w:rPr>
        <w:t xml:space="preserve">.  Margaret Arblaster concludes that </w:t>
      </w:r>
      <w:r w:rsidRPr="00753F14">
        <w:rPr>
          <w:rFonts w:eastAsia="Calibri"/>
          <w:color w:val="595959"/>
          <w:kern w:val="36"/>
        </w:rPr>
        <w:t>the Australian case history show</w:t>
      </w:r>
      <w:r w:rsidR="00CD432B">
        <w:rPr>
          <w:rFonts w:eastAsia="Calibri"/>
          <w:color w:val="595959"/>
          <w:kern w:val="36"/>
        </w:rPr>
        <w:t>s that</w:t>
      </w:r>
      <w:r w:rsidRPr="00753F14">
        <w:rPr>
          <w:rFonts w:eastAsia="Calibri"/>
          <w:color w:val="595959"/>
          <w:kern w:val="36"/>
        </w:rPr>
        <w:t xml:space="preserve"> </w:t>
      </w:r>
      <w:r w:rsidR="00CD432B">
        <w:rPr>
          <w:rFonts w:eastAsia="Calibri"/>
          <w:color w:val="595959"/>
          <w:kern w:val="36"/>
        </w:rPr>
        <w:t>negotiate-arbitrate regulation (</w:t>
      </w:r>
      <w:r w:rsidRPr="00753F14">
        <w:rPr>
          <w:rFonts w:eastAsia="Calibri"/>
          <w:color w:val="595959"/>
          <w:kern w:val="36"/>
        </w:rPr>
        <w:t>NAR</w:t>
      </w:r>
      <w:r w:rsidR="00CD432B">
        <w:rPr>
          <w:rFonts w:eastAsia="Calibri"/>
          <w:color w:val="595959"/>
          <w:kern w:val="36"/>
        </w:rPr>
        <w:t>)</w:t>
      </w:r>
      <w:r w:rsidRPr="00753F14">
        <w:rPr>
          <w:rFonts w:eastAsia="Calibri"/>
          <w:color w:val="595959"/>
          <w:kern w:val="36"/>
        </w:rPr>
        <w:t xml:space="preserve"> </w:t>
      </w:r>
      <w:r w:rsidR="00CD432B">
        <w:rPr>
          <w:rFonts w:eastAsia="Calibri"/>
          <w:color w:val="595959"/>
          <w:kern w:val="36"/>
        </w:rPr>
        <w:t>is</w:t>
      </w:r>
      <w:r w:rsidRPr="00753F14">
        <w:rPr>
          <w:rFonts w:eastAsia="Calibri"/>
          <w:color w:val="595959"/>
          <w:kern w:val="36"/>
        </w:rPr>
        <w:t xml:space="preserve"> a targeted and flexible approach to economic regulation of airport infrastructure services where </w:t>
      </w:r>
      <w:r w:rsidR="00CD432B">
        <w:rPr>
          <w:rFonts w:eastAsia="Calibri"/>
          <w:color w:val="595959"/>
          <w:kern w:val="36"/>
        </w:rPr>
        <w:t>dominance</w:t>
      </w:r>
      <w:r w:rsidRPr="00753F14">
        <w:rPr>
          <w:rFonts w:eastAsia="Calibri"/>
          <w:color w:val="595959"/>
          <w:kern w:val="36"/>
        </w:rPr>
        <w:t xml:space="preserve"> is a concern. </w:t>
      </w:r>
      <w:r w:rsidR="00CD432B">
        <w:rPr>
          <w:rFonts w:eastAsia="Calibri"/>
          <w:color w:val="595959"/>
          <w:kern w:val="36"/>
        </w:rPr>
        <w:t xml:space="preserve">It is further concluded that </w:t>
      </w:r>
      <w:r w:rsidRPr="00753F14">
        <w:rPr>
          <w:rFonts w:eastAsia="Calibri"/>
          <w:color w:val="595959"/>
          <w:kern w:val="36"/>
        </w:rPr>
        <w:t>NAR is an approach to economic regulation which is potentially consistent with principles of good regulation, including</w:t>
      </w:r>
      <w:r w:rsidR="00CD432B">
        <w:rPr>
          <w:rFonts w:eastAsia="Calibri"/>
          <w:color w:val="595959"/>
          <w:kern w:val="36"/>
        </w:rPr>
        <w:t>:</w:t>
      </w:r>
      <w:r w:rsidRPr="00753F14">
        <w:rPr>
          <w:rFonts w:eastAsia="Calibri"/>
          <w:color w:val="595959"/>
          <w:kern w:val="36"/>
        </w:rPr>
        <w:t xml:space="preserve"> </w:t>
      </w:r>
      <w:r w:rsidR="00CD432B">
        <w:rPr>
          <w:rFonts w:eastAsia="Calibri"/>
          <w:color w:val="595959"/>
          <w:kern w:val="36"/>
        </w:rPr>
        <w:t xml:space="preserve"> </w:t>
      </w:r>
      <w:r w:rsidRPr="00753F14">
        <w:rPr>
          <w:rFonts w:eastAsia="Calibri"/>
          <w:color w:val="595959"/>
          <w:kern w:val="36"/>
        </w:rPr>
        <w:t>minimi</w:t>
      </w:r>
      <w:r w:rsidR="00CD432B">
        <w:rPr>
          <w:rFonts w:eastAsia="Calibri"/>
          <w:color w:val="595959"/>
          <w:kern w:val="36"/>
        </w:rPr>
        <w:t>sing regulatory intervention;</w:t>
      </w:r>
      <w:r w:rsidRPr="00753F14">
        <w:rPr>
          <w:rFonts w:eastAsia="Calibri"/>
          <w:color w:val="595959"/>
          <w:kern w:val="36"/>
        </w:rPr>
        <w:t xml:space="preserve"> balancing the interests of airports and airport users</w:t>
      </w:r>
      <w:r w:rsidR="00CD432B">
        <w:rPr>
          <w:rFonts w:eastAsia="Calibri"/>
          <w:color w:val="595959"/>
          <w:kern w:val="36"/>
        </w:rPr>
        <w:t>;</w:t>
      </w:r>
      <w:r w:rsidRPr="00753F14">
        <w:rPr>
          <w:rFonts w:eastAsia="Calibri"/>
          <w:color w:val="595959"/>
          <w:kern w:val="36"/>
        </w:rPr>
        <w:t xml:space="preserve"> and providing protection against the use of market power. </w:t>
      </w:r>
      <w:r w:rsidR="00CD432B">
        <w:rPr>
          <w:rFonts w:eastAsia="Calibri"/>
          <w:color w:val="595959"/>
          <w:kern w:val="36"/>
        </w:rPr>
        <w:t xml:space="preserve"> </w:t>
      </w:r>
      <w:r w:rsidRPr="00753F14">
        <w:rPr>
          <w:rFonts w:eastAsia="Calibri"/>
          <w:color w:val="595959"/>
          <w:kern w:val="36"/>
        </w:rPr>
        <w:t>However, the regulatory design is critical to the effectiveness of the approach and the resource costs of using the framework.</w:t>
      </w:r>
    </w:p>
    <w:p w:rsidR="00753F14" w:rsidRPr="00AD71A5" w:rsidRDefault="00753F14" w:rsidP="00753F14">
      <w:pPr>
        <w:spacing w:line="240" w:lineRule="auto"/>
        <w:rPr>
          <w:rStyle w:val="Network-bodytext"/>
        </w:rPr>
      </w:pPr>
      <w:r>
        <w:rPr>
          <w:rStyle w:val="Network-bodytext"/>
          <w:rFonts w:eastAsia="Calibri"/>
        </w:rPr>
        <w:t xml:space="preserve">This article can be accessed by subscription to the </w:t>
      </w:r>
      <w:r w:rsidRPr="00753F14">
        <w:rPr>
          <w:rStyle w:val="Network-bodytext"/>
          <w:rFonts w:eastAsia="Calibri"/>
          <w:i/>
        </w:rPr>
        <w:t>Journal of Air Transport Manageme</w:t>
      </w:r>
      <w:r>
        <w:rPr>
          <w:rStyle w:val="Network-bodytext"/>
          <w:rFonts w:eastAsia="Calibri"/>
          <w:i/>
        </w:rPr>
        <w:t>nt.</w:t>
      </w:r>
    </w:p>
    <w:p w:rsidR="00753F14" w:rsidRPr="002A64C3" w:rsidRDefault="00753F14" w:rsidP="00753F14">
      <w:pPr>
        <w:rPr>
          <w:rStyle w:val="Network-bodytext"/>
          <w:rFonts w:eastAsia="Calibri"/>
        </w:rPr>
      </w:pPr>
      <w:r>
        <w:rPr>
          <w:rStyle w:val="Heading3Char"/>
          <w:lang w:val="en-US"/>
        </w:rPr>
        <w:t>Estimating the Market Risk Premium using Data from Multiple Markets</w:t>
      </w:r>
      <w:r w:rsidRPr="002A64C3">
        <w:rPr>
          <w:rStyle w:val="Network-bodytext"/>
          <w:rFonts w:eastAsia="Calibri"/>
        </w:rPr>
        <w:t xml:space="preserve">, </w:t>
      </w:r>
      <w:r>
        <w:rPr>
          <w:rStyle w:val="Network-bodytext"/>
          <w:rFonts w:eastAsia="Calibri"/>
        </w:rPr>
        <w:t xml:space="preserve">Martin Lally and John Randal, </w:t>
      </w:r>
      <w:r>
        <w:rPr>
          <w:rStyle w:val="Network-bodytext"/>
          <w:rFonts w:eastAsia="Calibri"/>
          <w:i/>
        </w:rPr>
        <w:t>Economic Record</w:t>
      </w:r>
      <w:r>
        <w:rPr>
          <w:rStyle w:val="Network-bodytext"/>
          <w:rFonts w:eastAsia="Calibri"/>
        </w:rPr>
        <w:t>, 91, 294, September 2015, pp. 324-337</w:t>
      </w:r>
      <w:r w:rsidRPr="002A64C3">
        <w:rPr>
          <w:rStyle w:val="Network-bodytext"/>
          <w:rFonts w:eastAsia="Calibri"/>
        </w:rPr>
        <w:t xml:space="preserve">. </w:t>
      </w:r>
    </w:p>
    <w:p w:rsidR="00753F14" w:rsidRPr="003E7B10" w:rsidRDefault="00753F14" w:rsidP="00753F14">
      <w:pPr>
        <w:rPr>
          <w:rStyle w:val="Network-bodytext"/>
          <w:rFonts w:eastAsia="Calibri"/>
        </w:rPr>
      </w:pPr>
      <w:r w:rsidRPr="003E7B10">
        <w:rPr>
          <w:rStyle w:val="Network-bodytext"/>
          <w:rFonts w:eastAsia="Calibri"/>
        </w:rPr>
        <w:t>This paper is about the development of an estimator of the market risk premium for a country.  Nineteen countries, including Australia and New Zealand, are included in the study.  The procedure involves combining an estimator based only on local data for each country with the cross-country average of these estimators.  The authors argue that using only local data is ‘significantly inferior to the use of a cross-country average’.  The section headings in the article are as follows: introduction; theory; an example; comparison of estimators; alternative assumptions; alternative methodologies; and conclusions.  An appendix sets out proofs for five of the equations in the body of the paper.  There are thirty</w:t>
      </w:r>
      <w:r>
        <w:rPr>
          <w:rStyle w:val="Network-bodytext"/>
          <w:rFonts w:eastAsia="Calibri"/>
        </w:rPr>
        <w:t>-</w:t>
      </w:r>
      <w:r w:rsidRPr="003E7B10">
        <w:rPr>
          <w:rStyle w:val="Network-bodytext"/>
          <w:rFonts w:eastAsia="Calibri"/>
        </w:rPr>
        <w:t xml:space="preserve">seven items in the reference list, that are all references to articles in professional journals or books.  Year of publication ranges from 1952 to 2011; and twenty-five of the items listed were published between 1952 and 2000. </w:t>
      </w:r>
    </w:p>
    <w:p w:rsidR="00753F14" w:rsidRPr="003E7B10" w:rsidRDefault="00753F14" w:rsidP="00753F14">
      <w:pPr>
        <w:rPr>
          <w:rStyle w:val="Network-bodytext"/>
          <w:rFonts w:eastAsia="Calibri"/>
        </w:rPr>
      </w:pPr>
      <w:r w:rsidRPr="003E7B10">
        <w:rPr>
          <w:rStyle w:val="Network-bodytext"/>
          <w:rFonts w:eastAsia="Calibri"/>
        </w:rPr>
        <w:t xml:space="preserve">This article can be accessed by on-line purchase or by subscription to the </w:t>
      </w:r>
      <w:r w:rsidRPr="00760BBE">
        <w:rPr>
          <w:rStyle w:val="Network-bodytext"/>
          <w:rFonts w:eastAsia="Calibri"/>
          <w:i/>
        </w:rPr>
        <w:t>Economic Record</w:t>
      </w:r>
      <w:r w:rsidRPr="003E7B10">
        <w:rPr>
          <w:rStyle w:val="Network-bodytext"/>
          <w:rFonts w:eastAsia="Calibri"/>
        </w:rPr>
        <w:t>.</w:t>
      </w:r>
    </w:p>
    <w:p w:rsidR="00753F14" w:rsidRDefault="00753F14" w:rsidP="00E66994">
      <w:pPr>
        <w:rPr>
          <w:rStyle w:val="Network-bodytext"/>
          <w:i/>
        </w:rPr>
        <w:sectPr w:rsidR="00753F14" w:rsidSect="006C2364">
          <w:footerReference w:type="even" r:id="rId19"/>
          <w:footerReference w:type="default" r:id="rId20"/>
          <w:endnotePr>
            <w:numFmt w:val="decimal"/>
          </w:endnotePr>
          <w:type w:val="continuous"/>
          <w:pgSz w:w="11906" w:h="16838" w:code="9"/>
          <w:pgMar w:top="1985" w:right="851" w:bottom="1134" w:left="851" w:header="567" w:footer="567" w:gutter="0"/>
          <w:cols w:num="2" w:space="708" w:equalWidth="0">
            <w:col w:w="4748" w:space="708"/>
            <w:col w:w="4748"/>
          </w:cols>
          <w:docGrid w:linePitch="360"/>
        </w:sectPr>
      </w:pPr>
    </w:p>
    <w:p w:rsidR="009907AF" w:rsidRPr="000E0A2C" w:rsidRDefault="00775501" w:rsidP="000E0A2C">
      <w:pPr>
        <w:pStyle w:val="Heading1"/>
      </w:pPr>
      <w:r w:rsidRPr="000E0A2C">
        <w:lastRenderedPageBreak/>
        <w:t>Regulatory Deci</w:t>
      </w:r>
      <w:r w:rsidR="00556789" w:rsidRPr="000E0A2C">
        <w:t xml:space="preserve">sions in </w:t>
      </w:r>
      <w:r w:rsidRPr="000E0A2C">
        <w:t>Australia</w:t>
      </w:r>
      <w:r w:rsidR="00D27FDC" w:rsidRPr="000E0A2C">
        <w:t xml:space="preserve"> and New Zealand</w:t>
      </w:r>
    </w:p>
    <w:p w:rsidR="00B7019C" w:rsidRPr="000E0A2C" w:rsidRDefault="00B7019C" w:rsidP="008F2FD1">
      <w:pPr>
        <w:pStyle w:val="Heading2"/>
      </w:pPr>
      <w:r w:rsidRPr="000E0A2C">
        <w:t>Australia</w:t>
      </w:r>
    </w:p>
    <w:p w:rsidR="00B7019C" w:rsidRPr="000E0A2C" w:rsidRDefault="00B7019C" w:rsidP="008F2FD1">
      <w:pPr>
        <w:pStyle w:val="Heading2"/>
        <w:jc w:val="both"/>
      </w:pPr>
      <w:r w:rsidRPr="000E0A2C">
        <w:t>Australian Competition and Consumer Commission (ACCC)</w:t>
      </w:r>
    </w:p>
    <w:p w:rsidR="003E7B10" w:rsidRPr="000E0A2C" w:rsidRDefault="003E7B10" w:rsidP="008F2FD1">
      <w:pPr>
        <w:pStyle w:val="Heading3"/>
        <w:rPr>
          <w:rStyle w:val="Network-bodytext"/>
          <w:color w:val="31849B"/>
          <w:kern w:val="0"/>
          <w:sz w:val="22"/>
        </w:rPr>
      </w:pPr>
      <w:r w:rsidRPr="000E0A2C">
        <w:t>Viterra’s Bulk Wheat Ports: Long</w:t>
      </w:r>
      <w:r w:rsidR="00C959F3" w:rsidRPr="000E0A2C">
        <w:t>-</w:t>
      </w:r>
      <w:r w:rsidRPr="000E0A2C">
        <w:t>Term Agreements Approved</w:t>
      </w:r>
    </w:p>
    <w:p w:rsidR="00AD12A4" w:rsidRPr="008F2FD1" w:rsidRDefault="003E7B10" w:rsidP="008F2FD1">
      <w:pPr>
        <w:rPr>
          <w:rStyle w:val="Network-bodytext"/>
        </w:rPr>
      </w:pPr>
      <w:r w:rsidRPr="008F2FD1">
        <w:rPr>
          <w:rStyle w:val="Network-bodytext"/>
        </w:rPr>
        <w:t xml:space="preserve">On 3 December 2015 the ACCC </w:t>
      </w:r>
      <w:hyperlink r:id="rId21" w:history="1">
        <w:r w:rsidRPr="008F2FD1">
          <w:rPr>
            <w:rStyle w:val="Network-bodytext"/>
          </w:rPr>
          <w:t>released</w:t>
        </w:r>
      </w:hyperlink>
      <w:r w:rsidRPr="008F2FD1">
        <w:rPr>
          <w:rStyle w:val="Network-bodytext"/>
        </w:rPr>
        <w:t xml:space="preserve"> a final decision to approve Viterra’s proposal to introduce long</w:t>
      </w:r>
      <w:r w:rsidR="00C959F3" w:rsidRPr="008F2FD1">
        <w:rPr>
          <w:rStyle w:val="Network-bodytext"/>
        </w:rPr>
        <w:t>-term agreements</w:t>
      </w:r>
      <w:r w:rsidRPr="008F2FD1">
        <w:rPr>
          <w:rStyle w:val="Network-bodytext"/>
        </w:rPr>
        <w:t xml:space="preserve"> to allocate port capacity at its six South Australian bulk wheat ports.</w:t>
      </w:r>
    </w:p>
    <w:p w:rsidR="00827E27" w:rsidRPr="00730106" w:rsidRDefault="00827E27" w:rsidP="008F2FD1">
      <w:pPr>
        <w:pStyle w:val="Heading3"/>
      </w:pPr>
      <w:r w:rsidRPr="00730106">
        <w:t>Draft Proposal from Australia Post for a $1 Basic Postage Rate: ACCC Does not Object</w:t>
      </w:r>
    </w:p>
    <w:p w:rsidR="00827E27" w:rsidRPr="008F2FD1" w:rsidRDefault="00AD12A4" w:rsidP="008F2FD1">
      <w:pPr>
        <w:rPr>
          <w:rStyle w:val="Network-bodytext"/>
          <w:rFonts w:eastAsiaTheme="minorHAnsi"/>
        </w:rPr>
      </w:pPr>
      <w:r w:rsidRPr="008F2FD1">
        <w:rPr>
          <w:rStyle w:val="Network-bodytext"/>
        </w:rPr>
        <w:t>O</w:t>
      </w:r>
      <w:r w:rsidR="00827E27" w:rsidRPr="008F2FD1">
        <w:rPr>
          <w:rStyle w:val="Network-bodytext"/>
        </w:rPr>
        <w:t xml:space="preserve">n 27 November 2015 the ACCC </w:t>
      </w:r>
      <w:hyperlink r:id="rId22" w:history="1">
        <w:r w:rsidR="00827E27" w:rsidRPr="008F2FD1">
          <w:rPr>
            <w:rStyle w:val="Network-bodytext"/>
          </w:rPr>
          <w:t>issued its view</w:t>
        </w:r>
      </w:hyperlink>
      <w:r w:rsidR="00827E27" w:rsidRPr="008F2FD1">
        <w:rPr>
          <w:rStyle w:val="Network-bodytext"/>
        </w:rPr>
        <w:t xml:space="preserve"> not to object to a draft proposal from Australia Post to introduce a basic postage rate (BPR) of $1. </w:t>
      </w:r>
      <w:r w:rsidRPr="008F2FD1">
        <w:rPr>
          <w:rStyle w:val="Network-bodytext"/>
        </w:rPr>
        <w:t xml:space="preserve"> </w:t>
      </w:r>
      <w:r w:rsidR="00827E27" w:rsidRPr="008F2FD1">
        <w:rPr>
          <w:rStyle w:val="Network-bodytext"/>
        </w:rPr>
        <w:t xml:space="preserve">Australia Post is proposing to introduce a basic postage rate (BPR) of $1 for letters delivered on a new timetable, which allows an extra two business days for delivery to occur. </w:t>
      </w:r>
      <w:r w:rsidR="000E0A2C" w:rsidRPr="008F2FD1">
        <w:rPr>
          <w:rStyle w:val="Network-bodytext"/>
        </w:rPr>
        <w:t xml:space="preserve"> </w:t>
      </w:r>
      <w:r w:rsidR="00827E27" w:rsidRPr="008F2FD1">
        <w:rPr>
          <w:rStyle w:val="Network-bodytext"/>
        </w:rPr>
        <w:t>Australia Post plans to introduce the new BPR in January 2016</w:t>
      </w:r>
      <w:r w:rsidR="00730106" w:rsidRPr="008F2FD1">
        <w:rPr>
          <w:rStyle w:val="Network-bodytext"/>
        </w:rPr>
        <w:t>.</w:t>
      </w:r>
    </w:p>
    <w:p w:rsidR="00827E27" w:rsidRPr="000E0A2C" w:rsidRDefault="00827E27" w:rsidP="008F2FD1">
      <w:pPr>
        <w:pStyle w:val="Heading3"/>
      </w:pPr>
      <w:r w:rsidRPr="000E0A2C">
        <w:t xml:space="preserve">Transurban Consortium's Proposed Acquisition of Brisbane's AirportLink M7: ACCC will not Oppose </w:t>
      </w:r>
    </w:p>
    <w:p w:rsidR="00827E27" w:rsidRPr="008F2FD1" w:rsidRDefault="00827E27" w:rsidP="008F2FD1">
      <w:pPr>
        <w:rPr>
          <w:rStyle w:val="Network-bodytext"/>
          <w:rFonts w:eastAsiaTheme="minorHAnsi"/>
        </w:rPr>
      </w:pPr>
      <w:r w:rsidRPr="008F2FD1">
        <w:rPr>
          <w:rStyle w:val="Network-bodytext"/>
        </w:rPr>
        <w:t xml:space="preserve">On 26 November 2015 the ACCC announced it </w:t>
      </w:r>
      <w:hyperlink r:id="rId23" w:history="1">
        <w:r w:rsidRPr="008F2FD1">
          <w:rPr>
            <w:rStyle w:val="Network-bodytext"/>
          </w:rPr>
          <w:t>will not oppose</w:t>
        </w:r>
      </w:hyperlink>
      <w:r w:rsidRPr="008F2FD1">
        <w:rPr>
          <w:rStyle w:val="Network-bodytext"/>
        </w:rPr>
        <w:t xml:space="preserve"> the proposed acquisition of the AirportLink M7 in Brisbane by a consortium led by Transurban.</w:t>
      </w:r>
      <w:r w:rsidR="000E0A2C" w:rsidRPr="008F2FD1">
        <w:rPr>
          <w:rStyle w:val="Network-bodytext"/>
        </w:rPr>
        <w:t xml:space="preserve"> </w:t>
      </w:r>
      <w:r w:rsidRPr="008F2FD1">
        <w:rPr>
          <w:rStyle w:val="Network-bodytext"/>
        </w:rPr>
        <w:t xml:space="preserve"> The consortium consists of AustralianSuper Pty Ltd, Tawreed Investments Limited and Transurban (Transurban Holdings Limited, Transurban International Limited and Transurban Infrastructure Management Limited).</w:t>
      </w:r>
    </w:p>
    <w:p w:rsidR="00827E27" w:rsidRPr="000E0A2C" w:rsidRDefault="00827E27" w:rsidP="008F2FD1">
      <w:pPr>
        <w:pStyle w:val="Heading3"/>
        <w:rPr>
          <w:rStyle w:val="Network-bodytext"/>
          <w:color w:val="31849B"/>
          <w:kern w:val="0"/>
          <w:sz w:val="22"/>
        </w:rPr>
      </w:pPr>
      <w:r w:rsidRPr="000E0A2C">
        <w:t>Brookfield’s Undertakings not Accepted</w:t>
      </w:r>
    </w:p>
    <w:p w:rsidR="00827E27" w:rsidRPr="008F2FD1" w:rsidRDefault="00827E27" w:rsidP="008F2FD1">
      <w:pPr>
        <w:rPr>
          <w:rStyle w:val="Network-bodytext"/>
        </w:rPr>
      </w:pPr>
      <w:r w:rsidRPr="008F2FD1">
        <w:rPr>
          <w:rStyle w:val="Network-bodytext"/>
        </w:rPr>
        <w:t xml:space="preserve">On 26 November 2015 the ACCC announced that it has decided </w:t>
      </w:r>
      <w:hyperlink r:id="rId24" w:history="1">
        <w:r w:rsidRPr="008F2FD1">
          <w:rPr>
            <w:rStyle w:val="Network-bodytext"/>
          </w:rPr>
          <w:t>not to accept</w:t>
        </w:r>
      </w:hyperlink>
      <w:r w:rsidRPr="008F2FD1">
        <w:rPr>
          <w:rStyle w:val="Network-bodytext"/>
        </w:rPr>
        <w:t xml:space="preserve"> undertakings offered by Brookfield Infrastructure Partners LP in relation to its proposed a</w:t>
      </w:r>
      <w:r w:rsidR="00AD12A4" w:rsidRPr="008F2FD1">
        <w:rPr>
          <w:rStyle w:val="Network-bodytext"/>
        </w:rPr>
        <w:t xml:space="preserve">cquisition of Asciano Limited. </w:t>
      </w:r>
    </w:p>
    <w:p w:rsidR="00827E27" w:rsidRPr="000E0A2C" w:rsidRDefault="000E0A2C" w:rsidP="008F2FD1">
      <w:pPr>
        <w:pStyle w:val="Heading3"/>
      </w:pPr>
      <w:r w:rsidRPr="000E0A2C">
        <w:t>Harper Review:</w:t>
      </w:r>
      <w:r w:rsidR="00694058" w:rsidRPr="000E0A2C">
        <w:t xml:space="preserve"> ACCC W</w:t>
      </w:r>
      <w:r w:rsidR="00827E27" w:rsidRPr="000E0A2C">
        <w:t>elcomes the Government’s Response</w:t>
      </w:r>
    </w:p>
    <w:p w:rsidR="00827E27" w:rsidRPr="008F2FD1" w:rsidRDefault="00827E27" w:rsidP="008F2FD1">
      <w:pPr>
        <w:rPr>
          <w:rStyle w:val="Network-bodytext"/>
          <w:rFonts w:eastAsiaTheme="minorHAnsi"/>
        </w:rPr>
      </w:pPr>
      <w:r w:rsidRPr="008F2FD1">
        <w:rPr>
          <w:rStyle w:val="Network-bodytext"/>
        </w:rPr>
        <w:t xml:space="preserve">On 24 November 2015 the ACCC </w:t>
      </w:r>
      <w:hyperlink r:id="rId25" w:history="1">
        <w:r w:rsidRPr="008F2FD1">
          <w:rPr>
            <w:rStyle w:val="Network-bodytext"/>
          </w:rPr>
          <w:t>welcomed</w:t>
        </w:r>
      </w:hyperlink>
      <w:r w:rsidRPr="008F2FD1">
        <w:rPr>
          <w:rStyle w:val="Network-bodytext"/>
        </w:rPr>
        <w:t xml:space="preserve"> the release of the Government’s response to the recommendations of the Harper Review, stating that the ACCC supports the Government’s new microeconomic reform agenda, which strongly affirms competition principles as a basis for action. </w:t>
      </w:r>
    </w:p>
    <w:p w:rsidR="00827E27" w:rsidRPr="000E0A2C" w:rsidRDefault="000E0A2C" w:rsidP="008F2FD1">
      <w:pPr>
        <w:pStyle w:val="Heading3"/>
      </w:pPr>
      <w:r>
        <w:lastRenderedPageBreak/>
        <w:t>Water Charge Rules:</w:t>
      </w:r>
      <w:r w:rsidR="00827E27" w:rsidRPr="000E0A2C">
        <w:t xml:space="preserve"> Draft Advice Released</w:t>
      </w:r>
    </w:p>
    <w:p w:rsidR="00827E27" w:rsidRPr="008F2FD1" w:rsidRDefault="00827E27" w:rsidP="008F2FD1">
      <w:pPr>
        <w:rPr>
          <w:rStyle w:val="Network-bodytext"/>
          <w:rFonts w:eastAsiaTheme="minorHAnsi"/>
        </w:rPr>
      </w:pPr>
      <w:r w:rsidRPr="008F2FD1">
        <w:rPr>
          <w:rStyle w:val="Network-bodytext"/>
        </w:rPr>
        <w:t xml:space="preserve">On 24 November 2015 the ACCC released its draft advice on amendments to the Commonwealth’s water charge rules, setting out the ACCC’s draft positions and seeking further submissions on proposed changes to the rules. </w:t>
      </w:r>
      <w:r w:rsidR="00AD12A4" w:rsidRPr="008F2FD1">
        <w:rPr>
          <w:rStyle w:val="Network-bodytext"/>
        </w:rPr>
        <w:t xml:space="preserve"> </w:t>
      </w:r>
      <w:r w:rsidRPr="008F2FD1">
        <w:rPr>
          <w:rStyle w:val="Network-bodytext"/>
        </w:rPr>
        <w:t xml:space="preserve">According to the </w:t>
      </w:r>
      <w:hyperlink r:id="rId26" w:history="1">
        <w:r w:rsidRPr="008F2FD1">
          <w:rPr>
            <w:rStyle w:val="Network-bodytext"/>
          </w:rPr>
          <w:t>media release</w:t>
        </w:r>
      </w:hyperlink>
      <w:r w:rsidRPr="008F2FD1">
        <w:rPr>
          <w:rStyle w:val="Network-bodytext"/>
        </w:rPr>
        <w:t xml:space="preserve"> the proposed charges are targeted at promoting efficient and sustainable use of water infrastructure, facilitating effective water markets and improving transparency of charging arrangements, while addressing the need to reduce burden.</w:t>
      </w:r>
    </w:p>
    <w:p w:rsidR="00827E27" w:rsidRPr="000E0A2C" w:rsidRDefault="00827E27" w:rsidP="008F2FD1">
      <w:pPr>
        <w:pStyle w:val="Heading3"/>
      </w:pPr>
      <w:r w:rsidRPr="000E0A2C">
        <w:t xml:space="preserve">Superfast Broadband Access Service: ACCC Proposes to Declare </w:t>
      </w:r>
    </w:p>
    <w:p w:rsidR="00827E27" w:rsidRPr="008F2FD1" w:rsidRDefault="00827E27" w:rsidP="008F2FD1">
      <w:pPr>
        <w:rPr>
          <w:rStyle w:val="Network-bodytext"/>
          <w:rFonts w:eastAsiaTheme="minorHAnsi"/>
        </w:rPr>
      </w:pPr>
      <w:r w:rsidRPr="008F2FD1">
        <w:rPr>
          <w:rStyle w:val="Network-bodytext"/>
        </w:rPr>
        <w:t xml:space="preserve">On 6 November 2015 the ACCC released a draft decision </w:t>
      </w:r>
      <w:hyperlink r:id="rId27" w:history="1">
        <w:r w:rsidRPr="008F2FD1">
          <w:rPr>
            <w:rStyle w:val="Network-bodytext"/>
          </w:rPr>
          <w:t>proposing to declare</w:t>
        </w:r>
      </w:hyperlink>
      <w:r w:rsidRPr="008F2FD1">
        <w:rPr>
          <w:rStyle w:val="Network-bodytext"/>
        </w:rPr>
        <w:t xml:space="preserve"> a Superfast Broadband Access Service.</w:t>
      </w:r>
      <w:r w:rsidR="00AD12A4" w:rsidRPr="008F2FD1">
        <w:rPr>
          <w:rStyle w:val="Network-bodytext"/>
        </w:rPr>
        <w:t xml:space="preserve"> </w:t>
      </w:r>
      <w:r w:rsidRPr="008F2FD1">
        <w:rPr>
          <w:rStyle w:val="Network-bodytext"/>
        </w:rPr>
        <w:t xml:space="preserve"> Currently, some superfast broadband services are already declared, some are subject to carrier licence conditions, others are subject to ministerial exemptions with conditions, while still others are not regulated. </w:t>
      </w:r>
    </w:p>
    <w:p w:rsidR="00827E27" w:rsidRPr="000E0A2C" w:rsidRDefault="00827E27" w:rsidP="008F2FD1">
      <w:pPr>
        <w:pStyle w:val="Heading3"/>
      </w:pPr>
      <w:r w:rsidRPr="000E0A2C">
        <w:t>Con</w:t>
      </w:r>
      <w:r w:rsidR="000E0A2C">
        <w:t xml:space="preserve">tainer Stevedoring Monitoring: </w:t>
      </w:r>
      <w:r w:rsidRPr="000E0A2C">
        <w:t>Annual Report Released</w:t>
      </w:r>
    </w:p>
    <w:p w:rsidR="00827E27" w:rsidRPr="008F2FD1" w:rsidRDefault="00827E27" w:rsidP="008F2FD1">
      <w:pPr>
        <w:rPr>
          <w:rStyle w:val="Network-bodytext"/>
        </w:rPr>
      </w:pPr>
      <w:r w:rsidRPr="008F2FD1">
        <w:rPr>
          <w:rStyle w:val="Network-bodytext"/>
        </w:rPr>
        <w:t xml:space="preserve">On 6 November 2015 the ACCC </w:t>
      </w:r>
      <w:hyperlink r:id="rId28" w:history="1">
        <w:r w:rsidRPr="008F2FD1">
          <w:rPr>
            <w:rStyle w:val="Network-bodytext"/>
          </w:rPr>
          <w:t>released</w:t>
        </w:r>
      </w:hyperlink>
      <w:r w:rsidRPr="008F2FD1">
        <w:rPr>
          <w:rStyle w:val="Network-bodytext"/>
        </w:rPr>
        <w:t xml:space="preserve"> its annual container stevedoring monitoring report.</w:t>
      </w:r>
    </w:p>
    <w:p w:rsidR="00827E27" w:rsidRPr="000E0A2C" w:rsidRDefault="000E0A2C" w:rsidP="008F2FD1">
      <w:pPr>
        <w:pStyle w:val="Heading3"/>
      </w:pPr>
      <w:r>
        <w:t>Fixed line Services:</w:t>
      </w:r>
      <w:r w:rsidR="00827E27" w:rsidRPr="000E0A2C">
        <w:t xml:space="preserve"> Final Decision Released</w:t>
      </w:r>
    </w:p>
    <w:p w:rsidR="00827E27" w:rsidRPr="008F2FD1" w:rsidRDefault="00827E27" w:rsidP="008F2FD1">
      <w:pPr>
        <w:rPr>
          <w:rStyle w:val="Network-bodytext"/>
          <w:rFonts w:eastAsiaTheme="minorHAnsi"/>
        </w:rPr>
      </w:pPr>
      <w:r w:rsidRPr="008F2FD1">
        <w:rPr>
          <w:rStyle w:val="Network-bodytext"/>
        </w:rPr>
        <w:t xml:space="preserve">On 9 October 2015 the ACCC released its </w:t>
      </w:r>
      <w:hyperlink r:id="rId29" w:history="1">
        <w:r w:rsidRPr="008F2FD1">
          <w:rPr>
            <w:rStyle w:val="Network-bodytext"/>
          </w:rPr>
          <w:t>final decision</w:t>
        </w:r>
      </w:hyperlink>
      <w:r w:rsidRPr="008F2FD1">
        <w:rPr>
          <w:rStyle w:val="Network-bodytext"/>
        </w:rPr>
        <w:t xml:space="preserve"> on the prices that other operators pay to use Telstra’s copper network to provide telecommunications services to their consumers.</w:t>
      </w:r>
      <w:r w:rsidR="000E0A2C" w:rsidRPr="008F2FD1">
        <w:rPr>
          <w:rStyle w:val="Network-bodytext"/>
        </w:rPr>
        <w:t xml:space="preserve"> </w:t>
      </w:r>
      <w:r w:rsidRPr="008F2FD1">
        <w:rPr>
          <w:rStyle w:val="Network-bodytext"/>
        </w:rPr>
        <w:t xml:space="preserve"> The final decision required a one-off uniform fall of 9.4 per cent in access prices from current levels for the seven fixed line access service to apply from 1 November 2015 until 30 June 2019.</w:t>
      </w:r>
    </w:p>
    <w:p w:rsidR="00827E27" w:rsidRPr="000E0A2C" w:rsidRDefault="000E0A2C" w:rsidP="008F2FD1">
      <w:pPr>
        <w:pStyle w:val="Heading3"/>
      </w:pPr>
      <w:r>
        <w:t>Port Kembla Wheat Ports:</w:t>
      </w:r>
      <w:r w:rsidR="00827E27" w:rsidRPr="000E0A2C">
        <w:t xml:space="preserve"> Exemption Intention Confirmed </w:t>
      </w:r>
    </w:p>
    <w:p w:rsidR="00827E27" w:rsidRPr="008F2FD1" w:rsidRDefault="00827E27" w:rsidP="008F2FD1">
      <w:pPr>
        <w:rPr>
          <w:rStyle w:val="Network-bodytext"/>
          <w:rFonts w:eastAsiaTheme="minorHAnsi"/>
        </w:rPr>
      </w:pPr>
      <w:r w:rsidRPr="008F2FD1">
        <w:rPr>
          <w:rStyle w:val="Network-bodytext"/>
        </w:rPr>
        <w:t xml:space="preserve">On 1 October 2015 the ACCC </w:t>
      </w:r>
      <w:hyperlink r:id="rId30" w:history="1">
        <w:r w:rsidRPr="008F2FD1">
          <w:rPr>
            <w:rStyle w:val="Network-bodytext"/>
          </w:rPr>
          <w:t>released a position paper</w:t>
        </w:r>
      </w:hyperlink>
      <w:r w:rsidRPr="008F2FD1">
        <w:rPr>
          <w:rStyle w:val="Network-bodytext"/>
        </w:rPr>
        <w:t xml:space="preserve"> confirming that it intends to grant exemptions to GrainCorp and Quattro from having to comply with Parts 3 to 6 of the Wheat Code at their respective Port Kembla terminal facilities.</w:t>
      </w:r>
    </w:p>
    <w:p w:rsidR="00827E27" w:rsidRPr="000E0A2C" w:rsidRDefault="00827E27" w:rsidP="008F2FD1">
      <w:pPr>
        <w:pStyle w:val="Heading2"/>
        <w:jc w:val="both"/>
      </w:pPr>
      <w:r w:rsidRPr="000E0A2C">
        <w:t>Australian Energy Market Commission (AEMC)</w:t>
      </w:r>
    </w:p>
    <w:p w:rsidR="005C50E4" w:rsidRPr="000E0A2C" w:rsidRDefault="000E0A2C" w:rsidP="008F2FD1">
      <w:pPr>
        <w:pStyle w:val="Heading3"/>
      </w:pPr>
      <w:r>
        <w:t xml:space="preserve">East Coast Gas Market: </w:t>
      </w:r>
      <w:r w:rsidR="005C50E4" w:rsidRPr="000E0A2C">
        <w:t xml:space="preserve">Recommendations for Balanced Reform </w:t>
      </w:r>
    </w:p>
    <w:p w:rsidR="005C50E4" w:rsidRPr="008F2FD1" w:rsidRDefault="005C50E4" w:rsidP="008F2FD1">
      <w:pPr>
        <w:rPr>
          <w:rStyle w:val="Network-bodytext"/>
        </w:rPr>
      </w:pPr>
      <w:r w:rsidRPr="008F2FD1">
        <w:rPr>
          <w:rStyle w:val="Network-bodytext"/>
        </w:rPr>
        <w:t xml:space="preserve">On 4 December 2015, the AEMC released its </w:t>
      </w:r>
      <w:hyperlink r:id="rId31" w:history="1">
        <w:r w:rsidRPr="008F2FD1">
          <w:rPr>
            <w:rStyle w:val="Network-bodytext"/>
          </w:rPr>
          <w:t>recommendations</w:t>
        </w:r>
      </w:hyperlink>
      <w:r w:rsidRPr="008F2FD1">
        <w:rPr>
          <w:rStyle w:val="Network-bodytext"/>
        </w:rPr>
        <w:t xml:space="preserve"> for a balanced reform program to promote the COAG Energy Council’s vision for development of the East Coast gas market.  The recommendations include:  redesign of the wholesale </w:t>
      </w:r>
      <w:r w:rsidRPr="008F2FD1">
        <w:rPr>
          <w:rStyle w:val="Network-bodytext"/>
        </w:rPr>
        <w:lastRenderedPageBreak/>
        <w:t>market; improved pipeline capacity usage</w:t>
      </w:r>
      <w:r w:rsidR="00563524" w:rsidRPr="008F2FD1">
        <w:rPr>
          <w:rStyle w:val="Network-bodytext"/>
        </w:rPr>
        <w:t>; and improved price transparency.</w:t>
      </w:r>
      <w:r w:rsidR="00AD12A4" w:rsidRPr="008F2FD1">
        <w:rPr>
          <w:rStyle w:val="Network-bodytext"/>
        </w:rPr>
        <w:t xml:space="preserve"> </w:t>
      </w:r>
      <w:r w:rsidRPr="008F2FD1">
        <w:rPr>
          <w:rStyle w:val="Network-bodytext"/>
        </w:rPr>
        <w:t xml:space="preserve"> </w:t>
      </w:r>
      <w:r w:rsidR="00563524" w:rsidRPr="008F2FD1">
        <w:rPr>
          <w:rStyle w:val="Network-bodytext"/>
        </w:rPr>
        <w:t>The AEMC also released its recommendations on the</w:t>
      </w:r>
      <w:r w:rsidRPr="008F2FD1">
        <w:rPr>
          <w:rStyle w:val="Network-bodytext"/>
        </w:rPr>
        <w:t xml:space="preserve"> </w:t>
      </w:r>
      <w:r w:rsidR="00563524" w:rsidRPr="008F2FD1">
        <w:rPr>
          <w:rStyle w:val="Network-bodytext"/>
        </w:rPr>
        <w:t>R</w:t>
      </w:r>
      <w:r w:rsidRPr="008F2FD1">
        <w:rPr>
          <w:rStyle w:val="Network-bodytext"/>
        </w:rPr>
        <w:t>eview of the Victorian Declared Wholesale Gas Market</w:t>
      </w:r>
      <w:r w:rsidR="00530280" w:rsidRPr="008F2FD1">
        <w:rPr>
          <w:rStyle w:val="Network-bodytext"/>
        </w:rPr>
        <w:t xml:space="preserve"> </w:t>
      </w:r>
      <w:hyperlink r:id="rId32" w:history="1">
        <w:r w:rsidR="00530280" w:rsidRPr="008F2FD1">
          <w:rPr>
            <w:rStyle w:val="Network-bodytext"/>
          </w:rPr>
          <w:t>(</w:t>
        </w:r>
        <w:r w:rsidR="00530280" w:rsidRPr="00B41499">
          <w:rPr>
            <w:rStyle w:val="Network-bodytext"/>
            <w:b/>
          </w:rPr>
          <w:t>see here</w:t>
        </w:r>
        <w:r w:rsidR="00530280" w:rsidRPr="008F2FD1">
          <w:rPr>
            <w:rStyle w:val="Network-bodytext"/>
          </w:rPr>
          <w:t>)</w:t>
        </w:r>
      </w:hyperlink>
      <w:r w:rsidRPr="008F2FD1">
        <w:rPr>
          <w:rStyle w:val="Network-bodytext"/>
        </w:rPr>
        <w:t xml:space="preserve">. </w:t>
      </w:r>
    </w:p>
    <w:p w:rsidR="00530280" w:rsidRPr="000E0A2C" w:rsidRDefault="00530280" w:rsidP="008F2FD1">
      <w:pPr>
        <w:pStyle w:val="Heading3"/>
      </w:pPr>
      <w:r w:rsidRPr="000E0A2C">
        <w:t xml:space="preserve">Residential Electricity Price Trends Report </w:t>
      </w:r>
    </w:p>
    <w:p w:rsidR="00530280" w:rsidRPr="008F2FD1" w:rsidRDefault="00530280" w:rsidP="008F2FD1">
      <w:pPr>
        <w:rPr>
          <w:rStyle w:val="Network-bodytext"/>
        </w:rPr>
      </w:pPr>
      <w:r w:rsidRPr="008F2FD1">
        <w:rPr>
          <w:rStyle w:val="Network-bodytext"/>
        </w:rPr>
        <w:t xml:space="preserve">On 4 December 2015, the AEMC released its </w:t>
      </w:r>
      <w:hyperlink r:id="rId33" w:history="1">
        <w:r w:rsidRPr="00B41499">
          <w:rPr>
            <w:rStyle w:val="Network-bodytext"/>
            <w:b/>
          </w:rPr>
          <w:t>Residential Electricity Price Trends Report</w:t>
        </w:r>
      </w:hyperlink>
      <w:r w:rsidRPr="008F2FD1">
        <w:rPr>
          <w:rStyle w:val="Network-bodytext"/>
        </w:rPr>
        <w:t>.  The Report examines</w:t>
      </w:r>
      <w:r w:rsidRPr="008F2FD1">
        <w:rPr>
          <w:rStyle w:val="Network-bodytext"/>
          <w:rFonts w:eastAsia="Calibri"/>
        </w:rPr>
        <w:t xml:space="preserve"> trends in the underlying cost components of household electricity bills - including the competitive market sectors of wholesale generation and retail; the regulated networks sector; and price implications from government environmental policies</w:t>
      </w:r>
      <w:r w:rsidRPr="008F2FD1">
        <w:rPr>
          <w:rStyle w:val="Network-bodytext"/>
        </w:rPr>
        <w:t>.</w:t>
      </w:r>
    </w:p>
    <w:p w:rsidR="00827E27" w:rsidRPr="000E0A2C" w:rsidRDefault="00827E27" w:rsidP="008F2FD1">
      <w:pPr>
        <w:pStyle w:val="Heading3"/>
      </w:pPr>
      <w:r w:rsidRPr="000E0A2C">
        <w:t xml:space="preserve">Expanding Competition in Metering and Related Services </w:t>
      </w:r>
    </w:p>
    <w:p w:rsidR="00827E27" w:rsidRPr="008F2FD1" w:rsidRDefault="00827E27" w:rsidP="008F2FD1">
      <w:pPr>
        <w:rPr>
          <w:rStyle w:val="Network-bodytext"/>
        </w:rPr>
      </w:pPr>
      <w:r w:rsidRPr="008F2FD1">
        <w:rPr>
          <w:rStyle w:val="Network-bodytext"/>
        </w:rPr>
        <w:t xml:space="preserve">On 26 November 2015, the AEMC </w:t>
      </w:r>
      <w:hyperlink r:id="rId34" w:history="1">
        <w:r w:rsidRPr="008F2FD1">
          <w:rPr>
            <w:rStyle w:val="Network-bodytext"/>
          </w:rPr>
          <w:t>made a final rule</w:t>
        </w:r>
      </w:hyperlink>
      <w:r w:rsidRPr="008F2FD1">
        <w:rPr>
          <w:rStyle w:val="Network-bodytext"/>
        </w:rPr>
        <w:t xml:space="preserve"> that will open up competition in metering services and will give consumers more opportunities to access a wider range of service</w:t>
      </w:r>
      <w:r w:rsidR="008E0B76" w:rsidRPr="008F2FD1">
        <w:rPr>
          <w:rStyle w:val="Network-bodytext"/>
        </w:rPr>
        <w:t>s.</w:t>
      </w:r>
    </w:p>
    <w:p w:rsidR="00827E27" w:rsidRPr="008E0B76" w:rsidRDefault="00827E27" w:rsidP="008F2FD1">
      <w:pPr>
        <w:pStyle w:val="Heading3"/>
      </w:pPr>
      <w:r w:rsidRPr="008E0B76">
        <w:t xml:space="preserve">AEMO </w:t>
      </w:r>
      <w:r w:rsidR="00694058" w:rsidRPr="008E0B76">
        <w:t xml:space="preserve">Allowed </w:t>
      </w:r>
      <w:r w:rsidRPr="008E0B76">
        <w:t xml:space="preserve">Access to Demand Forecasting Information </w:t>
      </w:r>
    </w:p>
    <w:p w:rsidR="00827E27" w:rsidRPr="008F2FD1" w:rsidRDefault="00827E27" w:rsidP="008F2FD1">
      <w:pPr>
        <w:rPr>
          <w:rStyle w:val="Network-bodytext"/>
          <w:rFonts w:eastAsiaTheme="minorHAnsi"/>
        </w:rPr>
      </w:pPr>
      <w:r w:rsidRPr="008F2FD1">
        <w:rPr>
          <w:rStyle w:val="Network-bodytext"/>
        </w:rPr>
        <w:t xml:space="preserve">On 22 October 2015, the AEMC made a rule that </w:t>
      </w:r>
      <w:hyperlink r:id="rId35" w:history="1">
        <w:r w:rsidRPr="008F2FD1">
          <w:rPr>
            <w:rStyle w:val="Network-bodytext"/>
          </w:rPr>
          <w:t>explicitly allows</w:t>
        </w:r>
      </w:hyperlink>
      <w:r w:rsidRPr="008F2FD1">
        <w:rPr>
          <w:rStyle w:val="Network-bodytext"/>
        </w:rPr>
        <w:t xml:space="preserve"> the Australian Energy Market Operator (AEMO) to prepare demand forecasts at the connection point and regional level as part of its National Transmission Planner functions.</w:t>
      </w:r>
    </w:p>
    <w:p w:rsidR="00B7019C" w:rsidRPr="000E0A2C" w:rsidRDefault="00B7019C" w:rsidP="008F2FD1">
      <w:pPr>
        <w:pStyle w:val="Heading2"/>
        <w:jc w:val="both"/>
      </w:pPr>
      <w:r w:rsidRPr="000E0A2C">
        <w:t>Australian Energy Regulator (AER)</w:t>
      </w:r>
    </w:p>
    <w:p w:rsidR="00C0466C" w:rsidRPr="000E0A2C" w:rsidRDefault="00C0466C" w:rsidP="008F2FD1">
      <w:pPr>
        <w:pStyle w:val="Heading3"/>
      </w:pPr>
      <w:r w:rsidRPr="000E0A2C">
        <w:t>Victorian Distribution Networks’ Tariff Structure Statements Published</w:t>
      </w:r>
    </w:p>
    <w:p w:rsidR="00C0466C" w:rsidRPr="008F2FD1" w:rsidRDefault="00C0466C" w:rsidP="008F2FD1">
      <w:pPr>
        <w:rPr>
          <w:rStyle w:val="Network-bodytext"/>
        </w:rPr>
      </w:pPr>
      <w:r w:rsidRPr="008F2FD1">
        <w:rPr>
          <w:rStyle w:val="Network-bodytext"/>
        </w:rPr>
        <w:t xml:space="preserve">On 3 December 2015 the AER </w:t>
      </w:r>
      <w:hyperlink r:id="rId36" w:history="1">
        <w:r w:rsidRPr="008F2FD1">
          <w:rPr>
            <w:rStyle w:val="Network-bodytext"/>
          </w:rPr>
          <w:t>published</w:t>
        </w:r>
      </w:hyperlink>
      <w:r w:rsidRPr="008F2FD1">
        <w:rPr>
          <w:rStyle w:val="Network-bodytext"/>
        </w:rPr>
        <w:t xml:space="preserve"> an issues paper on the tariff structure statements proposed by the Victorian distribution networks. </w:t>
      </w:r>
    </w:p>
    <w:p w:rsidR="00827E27" w:rsidRPr="000E0A2C" w:rsidRDefault="00827E27" w:rsidP="008F2FD1">
      <w:pPr>
        <w:pStyle w:val="Heading3"/>
      </w:pPr>
      <w:r w:rsidRPr="000E0A2C">
        <w:t>Tariff Structure Statements Received</w:t>
      </w:r>
    </w:p>
    <w:p w:rsidR="00827E27" w:rsidRPr="008F2FD1" w:rsidRDefault="00827E27" w:rsidP="008F2FD1">
      <w:pPr>
        <w:rPr>
          <w:rStyle w:val="Network-bodytext"/>
        </w:rPr>
      </w:pPr>
      <w:r w:rsidRPr="008F2FD1">
        <w:rPr>
          <w:rStyle w:val="Network-bodytext"/>
        </w:rPr>
        <w:t xml:space="preserve">On 1 December 2015 the AER </w:t>
      </w:r>
      <w:hyperlink r:id="rId37" w:history="1">
        <w:r w:rsidRPr="008F2FD1">
          <w:rPr>
            <w:rStyle w:val="Network-bodytext"/>
          </w:rPr>
          <w:t>announced</w:t>
        </w:r>
      </w:hyperlink>
      <w:r w:rsidR="000E0A2C" w:rsidRPr="008F2FD1">
        <w:rPr>
          <w:rStyle w:val="Network-bodytext"/>
        </w:rPr>
        <w:t xml:space="preserve"> it had received the </w:t>
      </w:r>
      <w:r w:rsidRPr="008F2FD1">
        <w:rPr>
          <w:rStyle w:val="Network-bodytext"/>
        </w:rPr>
        <w:t>second round of Tariff Structure Statement (TSS) proposals from the</w:t>
      </w:r>
      <w:r w:rsidR="000E0A2C" w:rsidRPr="008F2FD1">
        <w:rPr>
          <w:rStyle w:val="Network-bodytext"/>
        </w:rPr>
        <w:t xml:space="preserve"> </w:t>
      </w:r>
      <w:r w:rsidRPr="008F2FD1">
        <w:rPr>
          <w:rStyle w:val="Network-bodytext"/>
        </w:rPr>
        <w:t>Queensland,</w:t>
      </w:r>
      <w:r w:rsidR="000E0A2C" w:rsidRPr="008F2FD1">
        <w:rPr>
          <w:rStyle w:val="Network-bodytext"/>
        </w:rPr>
        <w:t xml:space="preserve"> </w:t>
      </w:r>
      <w:r w:rsidRPr="008F2FD1">
        <w:rPr>
          <w:rStyle w:val="Network-bodytext"/>
        </w:rPr>
        <w:t>New South Wales and Australian Capital Territory</w:t>
      </w:r>
      <w:r w:rsidR="000E0A2C" w:rsidRPr="008F2FD1">
        <w:rPr>
          <w:rStyle w:val="Network-bodytext"/>
        </w:rPr>
        <w:t xml:space="preserve"> </w:t>
      </w:r>
      <w:r w:rsidRPr="008F2FD1">
        <w:rPr>
          <w:rStyle w:val="Network-bodytext"/>
        </w:rPr>
        <w:t>electricity distribution businesses.</w:t>
      </w:r>
    </w:p>
    <w:p w:rsidR="00827E27" w:rsidRPr="000E0A2C" w:rsidRDefault="00827E27" w:rsidP="008F2FD1">
      <w:pPr>
        <w:pStyle w:val="Heading3"/>
      </w:pPr>
      <w:r w:rsidRPr="000E0A2C">
        <w:t>Second Annual Benchmarking Reports Published</w:t>
      </w:r>
    </w:p>
    <w:p w:rsidR="00827E27" w:rsidRPr="008F2FD1" w:rsidRDefault="00827E27" w:rsidP="008F2FD1">
      <w:pPr>
        <w:rPr>
          <w:rStyle w:val="Network-bodytext"/>
        </w:rPr>
      </w:pPr>
      <w:r w:rsidRPr="008F2FD1">
        <w:rPr>
          <w:rStyle w:val="Network-bodytext"/>
        </w:rPr>
        <w:t xml:space="preserve">On 30 November 2015, the AER published its </w:t>
      </w:r>
      <w:hyperlink r:id="rId38" w:history="1">
        <w:r w:rsidRPr="008F2FD1">
          <w:rPr>
            <w:rStyle w:val="Network-bodytext"/>
          </w:rPr>
          <w:t>second annual benchmarking reports</w:t>
        </w:r>
      </w:hyperlink>
      <w:r w:rsidRPr="008F2FD1">
        <w:rPr>
          <w:rStyle w:val="Network-bodytext"/>
        </w:rPr>
        <w:t xml:space="preserve"> for electricity distribution and transmission networks.</w:t>
      </w:r>
    </w:p>
    <w:p w:rsidR="00827E27" w:rsidRPr="000E0A2C" w:rsidRDefault="00827E27" w:rsidP="008F2FD1">
      <w:pPr>
        <w:pStyle w:val="Heading3"/>
      </w:pPr>
      <w:r w:rsidRPr="000E0A2C">
        <w:t xml:space="preserve">AusNet Services Tariff Structure Proposal </w:t>
      </w:r>
    </w:p>
    <w:p w:rsidR="00827E27" w:rsidRPr="008F2FD1" w:rsidRDefault="00827E27" w:rsidP="008F2FD1">
      <w:pPr>
        <w:rPr>
          <w:rStyle w:val="Network-bodytext"/>
        </w:rPr>
      </w:pPr>
      <w:r w:rsidRPr="008F2FD1">
        <w:rPr>
          <w:rStyle w:val="Network-bodytext"/>
        </w:rPr>
        <w:t xml:space="preserve">On 30 October 2015 the AER </w:t>
      </w:r>
      <w:hyperlink r:id="rId39" w:history="1">
        <w:r w:rsidRPr="008F2FD1">
          <w:rPr>
            <w:rStyle w:val="Network-bodytext"/>
          </w:rPr>
          <w:t>published</w:t>
        </w:r>
      </w:hyperlink>
      <w:r w:rsidRPr="008F2FD1">
        <w:rPr>
          <w:rStyle w:val="Network-bodytext"/>
        </w:rPr>
        <w:t xml:space="preserve"> AusNet Services Tariff Structure Statement proposal.</w:t>
      </w:r>
    </w:p>
    <w:p w:rsidR="00827E27" w:rsidRPr="000E0A2C" w:rsidRDefault="00827E27" w:rsidP="008F2FD1">
      <w:pPr>
        <w:pStyle w:val="Heading3"/>
      </w:pPr>
      <w:r w:rsidRPr="000E0A2C">
        <w:lastRenderedPageBreak/>
        <w:t>Queensland Elect</w:t>
      </w:r>
      <w:r w:rsidR="000E0A2C">
        <w:t>ricity Distribution Businesses:</w:t>
      </w:r>
      <w:r w:rsidRPr="000E0A2C">
        <w:t xml:space="preserve"> Final Decisions </w:t>
      </w:r>
    </w:p>
    <w:p w:rsidR="00827E27" w:rsidRPr="008F2FD1" w:rsidRDefault="00827E27" w:rsidP="008F2FD1">
      <w:pPr>
        <w:rPr>
          <w:rStyle w:val="Network-bodytext"/>
          <w:rFonts w:eastAsiaTheme="minorHAnsi"/>
        </w:rPr>
      </w:pPr>
      <w:r w:rsidRPr="008F2FD1">
        <w:rPr>
          <w:rStyle w:val="Network-bodytext"/>
        </w:rPr>
        <w:t xml:space="preserve">On 29 October 2015 the AER issued </w:t>
      </w:r>
      <w:hyperlink r:id="rId40" w:history="1">
        <w:r w:rsidRPr="008F2FD1">
          <w:rPr>
            <w:rStyle w:val="Network-bodytext"/>
          </w:rPr>
          <w:t>final decisions</w:t>
        </w:r>
      </w:hyperlink>
      <w:r w:rsidRPr="008F2FD1">
        <w:rPr>
          <w:rStyle w:val="Network-bodytext"/>
        </w:rPr>
        <w:t xml:space="preserve"> on the revised revenue proposals submitted by the Queensland electricity distribution busine</w:t>
      </w:r>
      <w:r w:rsidR="000E0A2C" w:rsidRPr="008F2FD1">
        <w:rPr>
          <w:rStyle w:val="Network-bodytext"/>
        </w:rPr>
        <w:t>sses Energex and Ergon Energy.</w:t>
      </w:r>
    </w:p>
    <w:p w:rsidR="00827E27" w:rsidRPr="000E0A2C" w:rsidRDefault="00827E27" w:rsidP="008F2FD1">
      <w:pPr>
        <w:pStyle w:val="Heading3"/>
      </w:pPr>
      <w:r w:rsidRPr="000E0A2C">
        <w:t>South Australia Elect</w:t>
      </w:r>
      <w:r w:rsidR="000E0A2C">
        <w:t>ricity Distribution Businesses:</w:t>
      </w:r>
      <w:r w:rsidRPr="000E0A2C">
        <w:t xml:space="preserve"> Final Decisions </w:t>
      </w:r>
    </w:p>
    <w:p w:rsidR="00827E27" w:rsidRPr="008F2FD1" w:rsidRDefault="00827E27" w:rsidP="008F2FD1">
      <w:pPr>
        <w:rPr>
          <w:rStyle w:val="Network-bodytext"/>
          <w:rFonts w:eastAsiaTheme="minorHAnsi"/>
        </w:rPr>
      </w:pPr>
      <w:r w:rsidRPr="008F2FD1">
        <w:rPr>
          <w:rStyle w:val="Network-bodytext"/>
        </w:rPr>
        <w:t xml:space="preserve">On 29 October 2015 the AER issued its </w:t>
      </w:r>
      <w:hyperlink r:id="rId41" w:history="1">
        <w:r w:rsidRPr="008F2FD1">
          <w:rPr>
            <w:rStyle w:val="Network-bodytext"/>
          </w:rPr>
          <w:t>final decision</w:t>
        </w:r>
      </w:hyperlink>
      <w:r w:rsidRPr="008F2FD1">
        <w:rPr>
          <w:rStyle w:val="Network-bodytext"/>
        </w:rPr>
        <w:t xml:space="preserve"> on the revised revenue proposal submitted by the South Australian electricity distribution business SA Power Networks. </w:t>
      </w:r>
    </w:p>
    <w:p w:rsidR="00827E27" w:rsidRPr="000E0A2C" w:rsidRDefault="00827E27" w:rsidP="008F2FD1">
      <w:pPr>
        <w:pStyle w:val="Heading3"/>
      </w:pPr>
      <w:r w:rsidRPr="000E0A2C">
        <w:t>Victoria Elect</w:t>
      </w:r>
      <w:r w:rsidR="000E0A2C">
        <w:t>ricity Distribution Businesses:</w:t>
      </w:r>
      <w:r w:rsidRPr="000E0A2C">
        <w:t xml:space="preserve"> Preliminary Decisions</w:t>
      </w:r>
    </w:p>
    <w:p w:rsidR="00827E27" w:rsidRPr="008F2FD1" w:rsidRDefault="00827E27" w:rsidP="008F2FD1">
      <w:pPr>
        <w:rPr>
          <w:rStyle w:val="Network-bodytext"/>
          <w:rFonts w:eastAsiaTheme="minorHAnsi"/>
        </w:rPr>
      </w:pPr>
      <w:r w:rsidRPr="008F2FD1">
        <w:rPr>
          <w:rStyle w:val="Network-bodytext"/>
        </w:rPr>
        <w:t xml:space="preserve">On 29 October 2015 the AER issued </w:t>
      </w:r>
      <w:hyperlink r:id="rId42" w:history="1">
        <w:r w:rsidRPr="008F2FD1">
          <w:rPr>
            <w:rStyle w:val="Network-bodytext"/>
          </w:rPr>
          <w:t>preliminary decisions</w:t>
        </w:r>
      </w:hyperlink>
      <w:r w:rsidRPr="008F2FD1">
        <w:rPr>
          <w:rStyle w:val="Network-bodytext"/>
        </w:rPr>
        <w:t xml:space="preserve"> for AusNet Services, CitiPower, Powercor, Jemena and United Energy, which are expected to reduce the amount consumers pay for electricity in Victoria.</w:t>
      </w:r>
    </w:p>
    <w:p w:rsidR="00B7019C" w:rsidRPr="000E0A2C" w:rsidRDefault="00B7019C" w:rsidP="008F2FD1">
      <w:pPr>
        <w:pStyle w:val="Heading2"/>
        <w:jc w:val="both"/>
      </w:pPr>
      <w:r w:rsidRPr="000E0A2C">
        <w:t>National Competition Council (NCC)</w:t>
      </w:r>
    </w:p>
    <w:p w:rsidR="00827E27" w:rsidRPr="000E0A2C" w:rsidRDefault="00827E27" w:rsidP="008F2FD1">
      <w:pPr>
        <w:pStyle w:val="Heading3"/>
      </w:pPr>
      <w:r w:rsidRPr="000E0A2C">
        <w:t>Application for Declaration of Shipping Channel Ser</w:t>
      </w:r>
      <w:r w:rsidR="000E0A2C">
        <w:t xml:space="preserve">vices at the Port of Newcastle </w:t>
      </w:r>
    </w:p>
    <w:p w:rsidR="00827E27" w:rsidRPr="000E0A2C" w:rsidRDefault="00827E27" w:rsidP="008F2FD1">
      <w:pPr>
        <w:rPr>
          <w:rStyle w:val="Network-bodytext"/>
          <w:b/>
        </w:rPr>
      </w:pPr>
      <w:r w:rsidRPr="000E0A2C">
        <w:rPr>
          <w:rStyle w:val="Network-bodytext"/>
        </w:rPr>
        <w:t>On 10 November 2015, the NCC sent to the Federal Treasurer its final recommendation in respect of the application by Glencore Coal Pty Ltd for declaration of the shipping channel service at the Port of Newcastle.</w:t>
      </w:r>
    </w:p>
    <w:p w:rsidR="00B7019C" w:rsidRPr="000E0A2C" w:rsidRDefault="00B7019C" w:rsidP="008F2FD1">
      <w:pPr>
        <w:pStyle w:val="Heading2"/>
        <w:jc w:val="both"/>
      </w:pPr>
      <w:r w:rsidRPr="000E0A2C">
        <w:t>Australian Capital Territory</w:t>
      </w:r>
    </w:p>
    <w:p w:rsidR="00B7019C" w:rsidRPr="000E0A2C" w:rsidRDefault="00B7019C" w:rsidP="008F2FD1">
      <w:pPr>
        <w:pStyle w:val="Heading2"/>
        <w:jc w:val="both"/>
      </w:pPr>
      <w:r w:rsidRPr="000E0A2C">
        <w:t>Independent Competition and Regulatory Commission (ICRC)</w:t>
      </w:r>
    </w:p>
    <w:p w:rsidR="00827E27" w:rsidRPr="000E0A2C" w:rsidRDefault="00827E27" w:rsidP="008F2FD1">
      <w:pPr>
        <w:pStyle w:val="Heading3"/>
      </w:pPr>
      <w:r w:rsidRPr="000E0A2C">
        <w:t xml:space="preserve">Water Pricing Tariff Structure Review </w:t>
      </w:r>
    </w:p>
    <w:p w:rsidR="00DF1AD2" w:rsidRPr="008F2FD1" w:rsidRDefault="00827E27" w:rsidP="008F2FD1">
      <w:pPr>
        <w:rPr>
          <w:rStyle w:val="Network-bodytext"/>
        </w:rPr>
      </w:pPr>
      <w:r w:rsidRPr="008F2FD1">
        <w:rPr>
          <w:rStyle w:val="Network-bodytext"/>
        </w:rPr>
        <w:t>See ‘Notes on Interesting Decisions’.</w:t>
      </w:r>
      <w:r w:rsidR="00DF1AD2" w:rsidRPr="008F2FD1">
        <w:rPr>
          <w:rStyle w:val="Network-bodytext"/>
        </w:rPr>
        <w:t xml:space="preserve"> </w:t>
      </w:r>
    </w:p>
    <w:p w:rsidR="00B7019C" w:rsidRPr="000E0A2C" w:rsidRDefault="00B7019C" w:rsidP="008F2FD1">
      <w:pPr>
        <w:pStyle w:val="Heading2"/>
        <w:jc w:val="both"/>
      </w:pPr>
      <w:r w:rsidRPr="000E0A2C">
        <w:t>New South Wales</w:t>
      </w:r>
    </w:p>
    <w:p w:rsidR="00B7019C" w:rsidRPr="000E0A2C" w:rsidRDefault="00B7019C" w:rsidP="008F2FD1">
      <w:pPr>
        <w:pStyle w:val="Heading2"/>
        <w:jc w:val="both"/>
      </w:pPr>
      <w:r w:rsidRPr="000E0A2C">
        <w:t>Independent Pricing and Regulatory Tribunal (IPART)</w:t>
      </w:r>
    </w:p>
    <w:p w:rsidR="00827E27" w:rsidRPr="000E0A2C" w:rsidRDefault="00827E27" w:rsidP="008F2FD1">
      <w:pPr>
        <w:pStyle w:val="Heading3"/>
      </w:pPr>
      <w:r w:rsidRPr="000E0A2C">
        <w:t xml:space="preserve">Retail Gas Prices and Charges: Review </w:t>
      </w:r>
    </w:p>
    <w:p w:rsidR="00827E27" w:rsidRPr="008F2FD1" w:rsidRDefault="00827E27" w:rsidP="008F2FD1">
      <w:pPr>
        <w:rPr>
          <w:rStyle w:val="Network-bodytext"/>
        </w:rPr>
      </w:pPr>
      <w:r w:rsidRPr="008F2FD1">
        <w:rPr>
          <w:rStyle w:val="Network-bodytext"/>
        </w:rPr>
        <w:t xml:space="preserve">See ‘Notes on Interesting Decisions’. </w:t>
      </w:r>
    </w:p>
    <w:p w:rsidR="00827E27" w:rsidRPr="000E0A2C" w:rsidRDefault="00827E27" w:rsidP="008F2FD1">
      <w:pPr>
        <w:pStyle w:val="Heading3"/>
      </w:pPr>
      <w:r w:rsidRPr="000E0A2C">
        <w:t>Solar Feed-In Tariffs – Final Report</w:t>
      </w:r>
    </w:p>
    <w:p w:rsidR="00FE34F6" w:rsidRPr="008F2FD1" w:rsidRDefault="00827E27" w:rsidP="008F2FD1">
      <w:pPr>
        <w:rPr>
          <w:rStyle w:val="Network-bodytext"/>
          <w:rFonts w:eastAsia="Calibri"/>
        </w:rPr>
      </w:pPr>
      <w:r w:rsidRPr="008F2FD1">
        <w:rPr>
          <w:rStyle w:val="Network-bodytext"/>
        </w:rPr>
        <w:t xml:space="preserve">On 15 October 2015, the IPART </w:t>
      </w:r>
      <w:hyperlink r:id="rId43" w:history="1">
        <w:r w:rsidRPr="008F2FD1">
          <w:rPr>
            <w:rStyle w:val="Network-bodytext"/>
          </w:rPr>
          <w:t>released</w:t>
        </w:r>
      </w:hyperlink>
      <w:r w:rsidRPr="008F2FD1">
        <w:rPr>
          <w:rStyle w:val="Network-bodytext"/>
        </w:rPr>
        <w:t xml:space="preserve"> a Final Report and Final Determination on solar feed-in tariffs in 2015-16.</w:t>
      </w:r>
      <w:r w:rsidR="00406AAC" w:rsidRPr="008F2FD1">
        <w:rPr>
          <w:rStyle w:val="Network-bodytext"/>
        </w:rPr>
        <w:t xml:space="preserve">  </w:t>
      </w:r>
      <w:r w:rsidRPr="008F2FD1">
        <w:rPr>
          <w:rStyle w:val="Network-bodytext"/>
        </w:rPr>
        <w:t xml:space="preserve">Its Final Determination is that in 2015-16 the benchmark range for solar feed-in tariffs is 4.7 to 6.1 c/kWh and the retailer contribution is 5.2 </w:t>
      </w:r>
      <w:r w:rsidRPr="008F2FD1">
        <w:rPr>
          <w:rStyle w:val="Network-bodytext"/>
        </w:rPr>
        <w:lastRenderedPageBreak/>
        <w:t>c/kWh.</w:t>
      </w:r>
      <w:r w:rsidR="00406AAC" w:rsidRPr="008F2FD1">
        <w:rPr>
          <w:rStyle w:val="Network-bodytext"/>
        </w:rPr>
        <w:t xml:space="preserve">  </w:t>
      </w:r>
      <w:r w:rsidRPr="008F2FD1">
        <w:rPr>
          <w:rStyle w:val="Network-bodytext"/>
        </w:rPr>
        <w:t>These decisions are 0.3c/kWh higher than its Draft Determination in August 2015 due to a higher forecast average wholesale spot price in 2015-16. Its Final Determination will take effect from 15</w:t>
      </w:r>
      <w:r w:rsidR="000E0A2C" w:rsidRPr="008F2FD1">
        <w:rPr>
          <w:rStyle w:val="Network-bodytext"/>
        </w:rPr>
        <w:t xml:space="preserve"> </w:t>
      </w:r>
      <w:r w:rsidRPr="008F2FD1">
        <w:rPr>
          <w:rStyle w:val="Network-bodytext"/>
        </w:rPr>
        <w:t>November 2015.</w:t>
      </w:r>
      <w:r w:rsidR="00FE34F6" w:rsidRPr="008F2FD1">
        <w:rPr>
          <w:rStyle w:val="Network-bodytext"/>
          <w:rFonts w:eastAsia="Calibri"/>
        </w:rPr>
        <w:t xml:space="preserve">  </w:t>
      </w:r>
    </w:p>
    <w:p w:rsidR="00C4075E" w:rsidRPr="000E0A2C" w:rsidRDefault="00C4075E" w:rsidP="008F2FD1">
      <w:pPr>
        <w:pStyle w:val="Heading2"/>
        <w:jc w:val="both"/>
      </w:pPr>
      <w:r w:rsidRPr="000E0A2C">
        <w:t>Northern Territory</w:t>
      </w:r>
    </w:p>
    <w:p w:rsidR="00C4075E" w:rsidRPr="000E0A2C" w:rsidRDefault="00C4075E" w:rsidP="008F2FD1">
      <w:pPr>
        <w:pStyle w:val="Heading2"/>
        <w:jc w:val="both"/>
      </w:pPr>
      <w:r w:rsidRPr="000E0A2C">
        <w:t>Utilities Commission</w:t>
      </w:r>
    </w:p>
    <w:p w:rsidR="00827E27" w:rsidRPr="000E0A2C" w:rsidRDefault="00827E27" w:rsidP="008F2FD1">
      <w:pPr>
        <w:pStyle w:val="Heading3"/>
      </w:pPr>
      <w:r w:rsidRPr="000E0A2C">
        <w:t xml:space="preserve">Final Compliance Framework and Reporting Guidelines </w:t>
      </w:r>
    </w:p>
    <w:p w:rsidR="00827E27" w:rsidRPr="008F2FD1" w:rsidRDefault="00827E27" w:rsidP="008F2FD1">
      <w:pPr>
        <w:rPr>
          <w:rStyle w:val="Network-bodytext"/>
        </w:rPr>
      </w:pPr>
      <w:r w:rsidRPr="008F2FD1">
        <w:rPr>
          <w:rStyle w:val="Network-bodytext"/>
        </w:rPr>
        <w:t>On 2 October 2015, the Utilities Commission</w:t>
      </w:r>
      <w:r w:rsidR="00406AAC" w:rsidRPr="008F2FD1">
        <w:rPr>
          <w:rStyle w:val="Network-bodytext"/>
        </w:rPr>
        <w:t xml:space="preserve"> </w:t>
      </w:r>
      <w:hyperlink r:id="rId44" w:history="1">
        <w:r w:rsidRPr="008F2FD1">
          <w:rPr>
            <w:rStyle w:val="Network-bodytext"/>
          </w:rPr>
          <w:t>published</w:t>
        </w:r>
      </w:hyperlink>
      <w:r w:rsidRPr="008F2FD1">
        <w:rPr>
          <w:rStyle w:val="Network-bodytext"/>
        </w:rPr>
        <w:t xml:space="preserve"> its final Compliance Framework and Reporting Guidelines.</w:t>
      </w:r>
    </w:p>
    <w:p w:rsidR="00B7019C" w:rsidRPr="000E0A2C" w:rsidRDefault="00B7019C" w:rsidP="008F2FD1">
      <w:pPr>
        <w:pStyle w:val="Heading2"/>
        <w:jc w:val="both"/>
      </w:pPr>
      <w:r w:rsidRPr="000E0A2C">
        <w:t>Queensland</w:t>
      </w:r>
    </w:p>
    <w:p w:rsidR="00B7019C" w:rsidRPr="000E0A2C" w:rsidRDefault="00B7019C" w:rsidP="008F2FD1">
      <w:pPr>
        <w:pStyle w:val="Heading2"/>
        <w:jc w:val="both"/>
      </w:pPr>
      <w:r w:rsidRPr="000E0A2C">
        <w:t>Queensland Competition Authority (QCA)</w:t>
      </w:r>
    </w:p>
    <w:p w:rsidR="00827E27" w:rsidRPr="000E0A2C" w:rsidRDefault="00827E27" w:rsidP="008F2FD1">
      <w:pPr>
        <w:pStyle w:val="Heading3"/>
      </w:pPr>
      <w:r w:rsidRPr="000E0A2C">
        <w:t>Queensland Rail’s Draft Access Undertaking – Draft Decision</w:t>
      </w:r>
    </w:p>
    <w:p w:rsidR="00827E27" w:rsidRPr="008F2FD1" w:rsidRDefault="00827E27" w:rsidP="008F2FD1">
      <w:pPr>
        <w:rPr>
          <w:rStyle w:val="Network-bodytext"/>
        </w:rPr>
      </w:pPr>
      <w:r w:rsidRPr="008F2FD1">
        <w:rPr>
          <w:rStyle w:val="Network-bodytext"/>
        </w:rPr>
        <w:t xml:space="preserve">On 8 October 2015 the QCA released its draft decision </w:t>
      </w:r>
      <w:hyperlink r:id="rId45" w:history="1">
        <w:r w:rsidRPr="008F2FD1">
          <w:rPr>
            <w:rStyle w:val="Network-bodytext"/>
          </w:rPr>
          <w:t>(click here)</w:t>
        </w:r>
      </w:hyperlink>
      <w:r w:rsidRPr="008F2FD1">
        <w:rPr>
          <w:rStyle w:val="Network-bodytext"/>
        </w:rPr>
        <w:t xml:space="preserve"> on Queensland Rail’s 2015 draft access undertaking (2015 DAU). Stakeholders were invited to comment on the draft decision, with submissions due by 24 December 2015.</w:t>
      </w:r>
    </w:p>
    <w:p w:rsidR="00B7019C" w:rsidRPr="000E0A2C" w:rsidRDefault="00B7019C" w:rsidP="008F2FD1">
      <w:pPr>
        <w:pStyle w:val="Heading2"/>
        <w:jc w:val="both"/>
      </w:pPr>
      <w:r w:rsidRPr="000E0A2C">
        <w:t>South Australia</w:t>
      </w:r>
    </w:p>
    <w:p w:rsidR="00B7019C" w:rsidRPr="000E0A2C" w:rsidRDefault="00B7019C" w:rsidP="008F2FD1">
      <w:pPr>
        <w:pStyle w:val="Heading2"/>
        <w:jc w:val="both"/>
      </w:pPr>
      <w:r w:rsidRPr="000E0A2C">
        <w:t>Essential Services Commission of South Australia (ESCOSA)</w:t>
      </w:r>
    </w:p>
    <w:p w:rsidR="00694058" w:rsidRPr="000E0A2C" w:rsidRDefault="003808E0" w:rsidP="008F2FD1">
      <w:pPr>
        <w:pStyle w:val="Heading3"/>
      </w:pPr>
      <w:r w:rsidRPr="000E0A2C">
        <w:t>National Energy Customer Framework – Review</w:t>
      </w:r>
    </w:p>
    <w:p w:rsidR="00694058" w:rsidRPr="008F2FD1" w:rsidRDefault="00694058" w:rsidP="008F2FD1">
      <w:pPr>
        <w:rPr>
          <w:rStyle w:val="Network-bodytext"/>
        </w:rPr>
      </w:pPr>
      <w:r w:rsidRPr="008F2FD1">
        <w:rPr>
          <w:rStyle w:val="Network-bodytext"/>
        </w:rPr>
        <w:t>On 4 December 2015</w:t>
      </w:r>
      <w:r w:rsidR="003808E0" w:rsidRPr="008F2FD1">
        <w:rPr>
          <w:rStyle w:val="Network-bodytext"/>
        </w:rPr>
        <w:t xml:space="preserve"> the ESCOSA released its draft findings for the review of the National Energy Retail Law, which establishes the National Energy Customer Framework.</w:t>
      </w:r>
      <w:r w:rsidR="006F04F4" w:rsidRPr="008F2FD1">
        <w:rPr>
          <w:rStyle w:val="Network-bodytext"/>
        </w:rPr>
        <w:t xml:space="preserve"> </w:t>
      </w:r>
      <w:r w:rsidR="000E0A2C" w:rsidRPr="008F2FD1">
        <w:rPr>
          <w:rStyle w:val="Network-bodytext"/>
        </w:rPr>
        <w:t>(</w:t>
      </w:r>
      <w:hyperlink r:id="rId46" w:history="1">
        <w:r w:rsidR="006F04F4" w:rsidRPr="00B41499">
          <w:rPr>
            <w:rStyle w:val="Network-bodytext"/>
            <w:b/>
          </w:rPr>
          <w:t>click here</w:t>
        </w:r>
      </w:hyperlink>
      <w:r w:rsidR="000E0A2C" w:rsidRPr="008F2FD1">
        <w:rPr>
          <w:rStyle w:val="Network-bodytext"/>
        </w:rPr>
        <w:t>)</w:t>
      </w:r>
    </w:p>
    <w:p w:rsidR="00827E27" w:rsidRPr="00860E81" w:rsidRDefault="00827E27" w:rsidP="008F2FD1">
      <w:pPr>
        <w:pStyle w:val="Heading3"/>
      </w:pPr>
      <w:r w:rsidRPr="00860E81">
        <w:t>Ports – Price Monitoring Report</w:t>
      </w:r>
    </w:p>
    <w:p w:rsidR="00827E27" w:rsidRPr="002B375F" w:rsidRDefault="00827E27" w:rsidP="008F2FD1">
      <w:pPr>
        <w:rPr>
          <w:rStyle w:val="Network-bodytext"/>
        </w:rPr>
      </w:pPr>
      <w:r w:rsidRPr="002B375F">
        <w:rPr>
          <w:rStyle w:val="Network-bodytext"/>
        </w:rPr>
        <w:t xml:space="preserve">On 24 November 2015 the ESCOSA </w:t>
      </w:r>
      <w:hyperlink r:id="rId47" w:history="1">
        <w:r w:rsidRPr="002B375F">
          <w:rPr>
            <w:rStyle w:val="Network-bodytext"/>
          </w:rPr>
          <w:t>released</w:t>
        </w:r>
      </w:hyperlink>
      <w:r w:rsidRPr="002B375F">
        <w:rPr>
          <w:rStyle w:val="Network-bodytext"/>
        </w:rPr>
        <w:t xml:space="preserve"> its 2015 Ports Price Monitoring Report to provide stakeholders and the general public with information on charges across six of Flinders Ports' commercial ports.</w:t>
      </w:r>
    </w:p>
    <w:p w:rsidR="00827E27" w:rsidRPr="00860E81" w:rsidRDefault="00827E27" w:rsidP="002B375F">
      <w:pPr>
        <w:pStyle w:val="Heading3"/>
      </w:pPr>
      <w:r w:rsidRPr="00860E81">
        <w:t>Retailer Feed-in Tariff</w:t>
      </w:r>
    </w:p>
    <w:p w:rsidR="00827E27" w:rsidRPr="002B375F" w:rsidRDefault="00827E27" w:rsidP="008F2FD1">
      <w:pPr>
        <w:rPr>
          <w:rStyle w:val="Network-bodytext"/>
          <w:rFonts w:eastAsiaTheme="minorHAnsi"/>
        </w:rPr>
      </w:pPr>
      <w:r w:rsidRPr="002B375F">
        <w:rPr>
          <w:rStyle w:val="Network-bodytext"/>
        </w:rPr>
        <w:t xml:space="preserve">On 2 December 2015 the ESCOSA made its </w:t>
      </w:r>
      <w:hyperlink r:id="rId48" w:history="1">
        <w:r w:rsidRPr="002B375F">
          <w:rPr>
            <w:rStyle w:val="Network-bodytext"/>
          </w:rPr>
          <w:t>Final Decision</w:t>
        </w:r>
      </w:hyperlink>
      <w:r w:rsidRPr="002B375F">
        <w:rPr>
          <w:rStyle w:val="Network-bodytext"/>
        </w:rPr>
        <w:t xml:space="preserve"> to set a 2016 minimum R-FiT of 6.8 cents per kWh. On 23 October 2015 the ESCOSA had published a </w:t>
      </w:r>
      <w:hyperlink r:id="rId49" w:history="1">
        <w:r w:rsidRPr="002B375F">
          <w:rPr>
            <w:rStyle w:val="Network-bodytext"/>
          </w:rPr>
          <w:t>report</w:t>
        </w:r>
      </w:hyperlink>
      <w:r w:rsidRPr="002B375F">
        <w:rPr>
          <w:rStyle w:val="Network-bodytext"/>
        </w:rPr>
        <w:t xml:space="preserve"> prepared by ACIL Allen Consulting on the minimum Retailer Feed-in Tariff (R-FiT) to apply in South Australia in 2016 which calculated a 2016 minimum R-FiT of 6.8 cents per kWh, which is </w:t>
      </w:r>
      <w:r w:rsidRPr="002B375F">
        <w:rPr>
          <w:rStyle w:val="Network-bodytext"/>
        </w:rPr>
        <w:lastRenderedPageBreak/>
        <w:t xml:space="preserve">greater than the 2015 minimum R-FiT of 5.3 cents per kWh. </w:t>
      </w:r>
    </w:p>
    <w:p w:rsidR="00B7019C" w:rsidRPr="00860E81" w:rsidRDefault="00B7019C" w:rsidP="002B375F">
      <w:pPr>
        <w:pStyle w:val="Heading2"/>
        <w:jc w:val="both"/>
      </w:pPr>
      <w:r w:rsidRPr="00860E81">
        <w:t>Tasmania</w:t>
      </w:r>
    </w:p>
    <w:p w:rsidR="00B7019C" w:rsidRPr="00860E81" w:rsidRDefault="00B7019C" w:rsidP="002B375F">
      <w:pPr>
        <w:pStyle w:val="Heading2"/>
        <w:jc w:val="both"/>
      </w:pPr>
      <w:r w:rsidRPr="00860E81">
        <w:t>Office of the Tasmanian Economic Regulator (OTTER)</w:t>
      </w:r>
    </w:p>
    <w:p w:rsidR="00F64676" w:rsidRPr="00860E81" w:rsidRDefault="00F64676" w:rsidP="002B375F">
      <w:pPr>
        <w:pStyle w:val="Heading3"/>
      </w:pPr>
      <w:r w:rsidRPr="00860E81">
        <w:t>New Tasmanian Economic Regulator Announced</w:t>
      </w:r>
    </w:p>
    <w:p w:rsidR="00F64676" w:rsidRPr="002B375F" w:rsidRDefault="00F64676" w:rsidP="008F2FD1">
      <w:pPr>
        <w:rPr>
          <w:rStyle w:val="Network-bodytext"/>
        </w:rPr>
      </w:pPr>
      <w:r w:rsidRPr="002B375F">
        <w:rPr>
          <w:rStyle w:val="Network-bodytext"/>
        </w:rPr>
        <w:t>See ‘Regulatory News’.</w:t>
      </w:r>
    </w:p>
    <w:p w:rsidR="00B7019C" w:rsidRPr="00860E81" w:rsidRDefault="00B7019C" w:rsidP="002B375F">
      <w:pPr>
        <w:pStyle w:val="Heading2"/>
        <w:jc w:val="both"/>
      </w:pPr>
      <w:r w:rsidRPr="00860E81">
        <w:t>Victoria</w:t>
      </w:r>
    </w:p>
    <w:p w:rsidR="00B7019C" w:rsidRPr="00860E81" w:rsidRDefault="00B7019C" w:rsidP="002B375F">
      <w:pPr>
        <w:pStyle w:val="Heading2"/>
        <w:jc w:val="both"/>
      </w:pPr>
      <w:r w:rsidRPr="00860E81">
        <w:t>Essential Services Commission (ESC)</w:t>
      </w:r>
    </w:p>
    <w:p w:rsidR="00F64676" w:rsidRPr="00860E81" w:rsidRDefault="00F64676" w:rsidP="002B375F">
      <w:pPr>
        <w:pStyle w:val="Heading3"/>
      </w:pPr>
      <w:r w:rsidRPr="00860E81">
        <w:t>Water Pricing Approach – Conference and Further Consultation</w:t>
      </w:r>
    </w:p>
    <w:p w:rsidR="00F64676" w:rsidRPr="002B375F" w:rsidRDefault="00F64676" w:rsidP="008F2FD1">
      <w:pPr>
        <w:rPr>
          <w:rStyle w:val="Network-bodytext"/>
          <w:rFonts w:eastAsiaTheme="minorHAnsi"/>
        </w:rPr>
      </w:pPr>
      <w:r w:rsidRPr="002B375F">
        <w:rPr>
          <w:rStyle w:val="Network-bodytext"/>
        </w:rPr>
        <w:t xml:space="preserve">On 24 November 2015 the ESC placed on its website </w:t>
      </w:r>
      <w:hyperlink r:id="rId50" w:history="1">
        <w:r w:rsidRPr="00B41499">
          <w:rPr>
            <w:rStyle w:val="Network-bodytext"/>
            <w:b/>
          </w:rPr>
          <w:t>the papers</w:t>
        </w:r>
      </w:hyperlink>
      <w:r w:rsidRPr="002B375F">
        <w:rPr>
          <w:rStyle w:val="Network-bodytext"/>
        </w:rPr>
        <w:t xml:space="preserve"> from the conference held on 9 and 10 November 2015 and called for further submissions.</w:t>
      </w:r>
    </w:p>
    <w:p w:rsidR="00F64676" w:rsidRPr="00860E81" w:rsidRDefault="00F64676" w:rsidP="002B375F">
      <w:pPr>
        <w:pStyle w:val="Heading3"/>
      </w:pPr>
      <w:r w:rsidRPr="00860E81">
        <w:t>Review of Victorian Electricity Distributors’ Guaranteed Service Level – Draft Decision</w:t>
      </w:r>
    </w:p>
    <w:p w:rsidR="00F64676" w:rsidRPr="002B375F" w:rsidRDefault="00F64676" w:rsidP="008F2FD1">
      <w:pPr>
        <w:rPr>
          <w:rStyle w:val="Network-bodytext"/>
        </w:rPr>
      </w:pPr>
      <w:r w:rsidRPr="002B375F">
        <w:rPr>
          <w:rStyle w:val="Network-bodytext"/>
        </w:rPr>
        <w:t xml:space="preserve">On 18 November 2015 the ESC released its </w:t>
      </w:r>
      <w:hyperlink r:id="rId51" w:history="1">
        <w:r w:rsidRPr="002B375F">
          <w:rPr>
            <w:rStyle w:val="Network-bodytext"/>
          </w:rPr>
          <w:t>Draft Decision</w:t>
        </w:r>
      </w:hyperlink>
      <w:r w:rsidRPr="002B375F">
        <w:rPr>
          <w:rStyle w:val="Network-bodytext"/>
        </w:rPr>
        <w:t xml:space="preserve"> on the Review of Victorian Electricity Distributors’ Guaranteed Service Level Payment Scheme.</w:t>
      </w:r>
    </w:p>
    <w:p w:rsidR="000732A7" w:rsidRPr="00860E81" w:rsidRDefault="000732A7" w:rsidP="002B375F">
      <w:pPr>
        <w:pStyle w:val="Heading3"/>
      </w:pPr>
      <w:r w:rsidRPr="00860E81">
        <w:t>Water Price Review 2016 – Melbourne Water</w:t>
      </w:r>
    </w:p>
    <w:p w:rsidR="000732A7" w:rsidRPr="002B375F" w:rsidRDefault="000732A7" w:rsidP="008F2FD1">
      <w:pPr>
        <w:rPr>
          <w:rStyle w:val="Network-bodytext"/>
          <w:rFonts w:eastAsia="Calibri"/>
        </w:rPr>
      </w:pPr>
      <w:r w:rsidRPr="002B375F">
        <w:rPr>
          <w:rStyle w:val="Network-bodytext"/>
        </w:rPr>
        <w:t>In April 2015 the ESC released its 2015 Consultation Paper on Melbourne Water's 2016 price review; a new requirement under WIRO 2014.</w:t>
      </w:r>
      <w:r w:rsidR="00A7242C" w:rsidRPr="002B375F">
        <w:rPr>
          <w:rStyle w:val="Network-bodytext"/>
        </w:rPr>
        <w:t xml:space="preserve">  </w:t>
      </w:r>
      <w:hyperlink r:id="rId52" w:history="1">
        <w:r w:rsidRPr="002B375F">
          <w:rPr>
            <w:rStyle w:val="Network-bodytext"/>
          </w:rPr>
          <w:t>The ESC must approve new prices for Melbourne Water for the pricing period commencing 1 July 2016.</w:t>
        </w:r>
      </w:hyperlink>
    </w:p>
    <w:p w:rsidR="000732A7" w:rsidRPr="00860E81" w:rsidRDefault="000732A7" w:rsidP="002B375F">
      <w:pPr>
        <w:pStyle w:val="Heading3"/>
      </w:pPr>
      <w:r w:rsidRPr="00860E81">
        <w:t>Best Practice Financial Hardship Programs of Retailers – Inquiry</w:t>
      </w:r>
    </w:p>
    <w:p w:rsidR="00E752A8" w:rsidRPr="002B375F" w:rsidRDefault="000732A7" w:rsidP="008F2FD1">
      <w:pPr>
        <w:rPr>
          <w:rStyle w:val="Network-bodytext"/>
        </w:rPr>
      </w:pPr>
      <w:r w:rsidRPr="002B375F">
        <w:rPr>
          <w:rStyle w:val="Network-bodytext"/>
        </w:rPr>
        <w:t>On 27 March 2015 the ESC released an issues paper for its review of the policies, practices and procedures that energy retailers use to help customers in financial hardship avoid disconnection.</w:t>
      </w:r>
      <w:r w:rsidR="00A7242C" w:rsidRPr="002B375F">
        <w:rPr>
          <w:rStyle w:val="Network-bodytext"/>
        </w:rPr>
        <w:t xml:space="preserve"> </w:t>
      </w:r>
      <w:r w:rsidRPr="002B375F">
        <w:rPr>
          <w:rStyle w:val="Network-bodytext"/>
        </w:rPr>
        <w:t xml:space="preserve"> </w:t>
      </w:r>
      <w:hyperlink r:id="rId53" w:history="1">
        <w:r w:rsidRPr="00B41499">
          <w:rPr>
            <w:rStyle w:val="Network-bodytext"/>
            <w:b/>
          </w:rPr>
          <w:t>View the submissions received.</w:t>
        </w:r>
      </w:hyperlink>
    </w:p>
    <w:p w:rsidR="00B7019C" w:rsidRPr="00860E81" w:rsidRDefault="00B7019C" w:rsidP="002B375F">
      <w:pPr>
        <w:pStyle w:val="Heading2"/>
        <w:jc w:val="both"/>
      </w:pPr>
      <w:r w:rsidRPr="00860E81">
        <w:t>Western Australia</w:t>
      </w:r>
    </w:p>
    <w:p w:rsidR="00B7019C" w:rsidRPr="00860E81" w:rsidRDefault="00B7019C" w:rsidP="002B375F">
      <w:pPr>
        <w:pStyle w:val="Heading2"/>
        <w:jc w:val="both"/>
      </w:pPr>
      <w:r w:rsidRPr="00860E81">
        <w:t>Economic Regulation Authority (ERA)</w:t>
      </w:r>
    </w:p>
    <w:p w:rsidR="000A6506" w:rsidRPr="00860E81" w:rsidRDefault="000A6506" w:rsidP="002B375F">
      <w:pPr>
        <w:pStyle w:val="Heading3"/>
      </w:pPr>
      <w:r w:rsidRPr="00860E81">
        <w:t>2015 Review of Railway (Access) Code 2000 – Publication of Submissions</w:t>
      </w:r>
    </w:p>
    <w:p w:rsidR="000A6506" w:rsidRPr="002B375F" w:rsidRDefault="000A6506" w:rsidP="008F2FD1">
      <w:pPr>
        <w:rPr>
          <w:rStyle w:val="Network-bodytext"/>
          <w:rFonts w:eastAsiaTheme="minorHAnsi"/>
        </w:rPr>
      </w:pPr>
      <w:r w:rsidRPr="002B375F">
        <w:rPr>
          <w:rStyle w:val="Network-bodytext"/>
        </w:rPr>
        <w:t xml:space="preserve">On 23 November 2015, the ERA issued a </w:t>
      </w:r>
      <w:hyperlink r:id="rId54" w:history="1">
        <w:r w:rsidRPr="002B375F">
          <w:rPr>
            <w:rStyle w:val="Network-bodytext"/>
          </w:rPr>
          <w:t>notice of publication</w:t>
        </w:r>
      </w:hyperlink>
      <w:r w:rsidRPr="002B375F">
        <w:rPr>
          <w:rStyle w:val="Network-bodytext"/>
        </w:rPr>
        <w:t xml:space="preserve"> that it had published eight submissions it received in response to the Draft Report on the Review of the Railways (Access) Code 2000.</w:t>
      </w:r>
      <w:r w:rsidR="00860E81" w:rsidRPr="002B375F">
        <w:rPr>
          <w:rStyle w:val="Network-bodytext"/>
        </w:rPr>
        <w:t xml:space="preserve"> </w:t>
      </w:r>
      <w:r w:rsidRPr="002B375F">
        <w:rPr>
          <w:rStyle w:val="Network-bodytext"/>
        </w:rPr>
        <w:t xml:space="preserve"> These </w:t>
      </w:r>
      <w:r w:rsidRPr="002B375F">
        <w:rPr>
          <w:rStyle w:val="Network-bodytext"/>
        </w:rPr>
        <w:lastRenderedPageBreak/>
        <w:t>submissions were received from: Aurizon; Australian Rail Track Corporation; Brockman Mining Pty Ltd; Brookfield Rail Pty Ltd; CBH; Roy Hill Infrastructure Pty Ltd; The Pilbara Infrastructure Pty Lt</w:t>
      </w:r>
      <w:r w:rsidR="00860E81" w:rsidRPr="002B375F">
        <w:rPr>
          <w:rStyle w:val="Network-bodytext"/>
        </w:rPr>
        <w:t xml:space="preserve">d; and WA Farmer's Federation. </w:t>
      </w:r>
    </w:p>
    <w:p w:rsidR="000A6506" w:rsidRPr="00860E81" w:rsidRDefault="000A6506" w:rsidP="002B375F">
      <w:pPr>
        <w:pStyle w:val="Heading3"/>
      </w:pPr>
      <w:r w:rsidRPr="00860E81">
        <w:t>Brookfield Rail Segregation</w:t>
      </w:r>
      <w:r w:rsidR="00860E81">
        <w:t xml:space="preserve"> Arrangements – Draft Decision </w:t>
      </w:r>
    </w:p>
    <w:p w:rsidR="000A6506" w:rsidRPr="002B375F" w:rsidRDefault="000A6506" w:rsidP="008F2FD1">
      <w:pPr>
        <w:rPr>
          <w:rStyle w:val="Network-bodytext"/>
        </w:rPr>
      </w:pPr>
      <w:r w:rsidRPr="002B375F">
        <w:rPr>
          <w:rStyle w:val="Network-bodytext"/>
        </w:rPr>
        <w:t xml:space="preserve">On 12 November 2015 the ERA announced its </w:t>
      </w:r>
      <w:hyperlink r:id="rId55" w:history="1">
        <w:r w:rsidRPr="00B41499">
          <w:rPr>
            <w:rStyle w:val="Network-bodytext"/>
            <w:b/>
          </w:rPr>
          <w:t>Draft Decision</w:t>
        </w:r>
      </w:hyperlink>
      <w:r w:rsidRPr="002B375F">
        <w:rPr>
          <w:rStyle w:val="Network-bodytext"/>
        </w:rPr>
        <w:t xml:space="preserve"> to approve Brookfield’s proposed segregation arrangements subject to twelve required amendments. </w:t>
      </w:r>
    </w:p>
    <w:p w:rsidR="00B7019C" w:rsidRPr="00860E81" w:rsidRDefault="00B7019C" w:rsidP="002B375F">
      <w:pPr>
        <w:pStyle w:val="Heading2"/>
        <w:jc w:val="both"/>
      </w:pPr>
      <w:bookmarkStart w:id="5" w:name="OLE_LINK1"/>
      <w:bookmarkStart w:id="6" w:name="OLE_LINK2"/>
      <w:r w:rsidRPr="00860E81">
        <w:t>New Zealand</w:t>
      </w:r>
    </w:p>
    <w:bookmarkEnd w:id="5"/>
    <w:bookmarkEnd w:id="6"/>
    <w:p w:rsidR="00B7019C" w:rsidRPr="00860E81" w:rsidRDefault="00B7019C" w:rsidP="002B375F">
      <w:pPr>
        <w:pStyle w:val="Heading2"/>
        <w:jc w:val="both"/>
      </w:pPr>
      <w:r w:rsidRPr="00860E81">
        <w:t>New Zealand Commerce Commission (CCNZ)</w:t>
      </w:r>
    </w:p>
    <w:p w:rsidR="000A6506" w:rsidRPr="00860E81" w:rsidRDefault="000A6506" w:rsidP="002B375F">
      <w:pPr>
        <w:pStyle w:val="Heading3"/>
      </w:pPr>
      <w:r w:rsidRPr="00860E81">
        <w:t>Eastland Port Commercial Resolution</w:t>
      </w:r>
    </w:p>
    <w:p w:rsidR="000A6506" w:rsidRPr="002B375F" w:rsidRDefault="000A6506" w:rsidP="008F2FD1">
      <w:pPr>
        <w:rPr>
          <w:rStyle w:val="Network-bodytext"/>
        </w:rPr>
      </w:pPr>
      <w:r w:rsidRPr="002B375F">
        <w:rPr>
          <w:rStyle w:val="Network-bodytext"/>
        </w:rPr>
        <w:t xml:space="preserve">On 25 November 2015 the CCNZ </w:t>
      </w:r>
      <w:hyperlink r:id="rId56" w:history="1">
        <w:r w:rsidRPr="00B41499">
          <w:rPr>
            <w:rStyle w:val="Network-bodytext"/>
            <w:b/>
          </w:rPr>
          <w:t>announced</w:t>
        </w:r>
      </w:hyperlink>
      <w:r w:rsidRPr="002B375F">
        <w:rPr>
          <w:rStyle w:val="Network-bodytext"/>
        </w:rPr>
        <w:t xml:space="preserve"> that it welcomed the commercial agreement reached between Eastland Port and forestry customers and confirmed its proposed inquiry into the Port’s pricing under Part 4 of the Commerce Act will now not proceed. </w:t>
      </w:r>
    </w:p>
    <w:p w:rsidR="000A6506" w:rsidRPr="00860E81" w:rsidRDefault="000A6506" w:rsidP="002B375F">
      <w:pPr>
        <w:pStyle w:val="Heading3"/>
      </w:pPr>
      <w:r w:rsidRPr="00860E81">
        <w:t>Customised Price Quality Path – More Flexibility</w:t>
      </w:r>
    </w:p>
    <w:p w:rsidR="000A6506" w:rsidRPr="002B375F" w:rsidRDefault="000A6506" w:rsidP="008F2FD1">
      <w:pPr>
        <w:rPr>
          <w:rStyle w:val="Network-bodytext"/>
        </w:rPr>
      </w:pPr>
      <w:r w:rsidRPr="002B375F">
        <w:rPr>
          <w:rStyle w:val="Network-bodytext"/>
        </w:rPr>
        <w:t xml:space="preserve">On 12 November 2015 the CCNZ </w:t>
      </w:r>
      <w:hyperlink r:id="rId57" w:history="1">
        <w:r w:rsidRPr="00B41499">
          <w:rPr>
            <w:rStyle w:val="Network-bodytext"/>
            <w:b/>
          </w:rPr>
          <w:t>published amendments</w:t>
        </w:r>
      </w:hyperlink>
      <w:r w:rsidRPr="002B375F">
        <w:rPr>
          <w:rStyle w:val="Network-bodytext"/>
        </w:rPr>
        <w:t xml:space="preserve"> that provide more flexibility for gas and electricity distributors when applying for a custom</w:t>
      </w:r>
      <w:r w:rsidR="002B375F">
        <w:rPr>
          <w:rStyle w:val="Network-bodytext"/>
        </w:rPr>
        <w:t xml:space="preserve">ised price-quality path (CPP). </w:t>
      </w:r>
    </w:p>
    <w:p w:rsidR="000A6506" w:rsidRPr="00860E81" w:rsidRDefault="000A6506" w:rsidP="002B375F">
      <w:pPr>
        <w:pStyle w:val="Heading3"/>
      </w:pPr>
      <w:r w:rsidRPr="00860E81">
        <w:t>Draft Amendments to Airport Land Valuation Rules</w:t>
      </w:r>
    </w:p>
    <w:p w:rsidR="000A6506" w:rsidRPr="002B375F" w:rsidRDefault="000A6506" w:rsidP="008F2FD1">
      <w:pPr>
        <w:rPr>
          <w:rStyle w:val="Network-bodytext"/>
          <w:rFonts w:eastAsiaTheme="minorHAnsi"/>
        </w:rPr>
      </w:pPr>
      <w:r w:rsidRPr="002B375F">
        <w:rPr>
          <w:rStyle w:val="Network-bodytext"/>
        </w:rPr>
        <w:t>See ‘Notes on Interesting Decisions’.</w:t>
      </w:r>
    </w:p>
    <w:p w:rsidR="000A6506" w:rsidRPr="00860E81" w:rsidRDefault="000A6506" w:rsidP="002B375F">
      <w:pPr>
        <w:pStyle w:val="Heading3"/>
      </w:pPr>
      <w:r w:rsidRPr="00860E81">
        <w:t>Input Methodologies Review – Update</w:t>
      </w:r>
    </w:p>
    <w:p w:rsidR="000A6506" w:rsidRPr="002B375F" w:rsidRDefault="000A6506" w:rsidP="008F2FD1">
      <w:pPr>
        <w:rPr>
          <w:rStyle w:val="Network-bodytext"/>
          <w:rFonts w:eastAsiaTheme="minorHAnsi"/>
        </w:rPr>
      </w:pPr>
      <w:r w:rsidRPr="002B375F">
        <w:rPr>
          <w:rStyle w:val="Network-bodytext"/>
        </w:rPr>
        <w:t xml:space="preserve">On 30 October 2015 the CCNZ </w:t>
      </w:r>
      <w:hyperlink r:id="rId58" w:history="1">
        <w:r w:rsidRPr="00B41499">
          <w:rPr>
            <w:rStyle w:val="Network-bodytext"/>
            <w:b/>
          </w:rPr>
          <w:t>released a process</w:t>
        </w:r>
        <w:r w:rsidRPr="002B375F">
          <w:rPr>
            <w:rStyle w:val="Network-bodytext"/>
          </w:rPr>
          <w:t xml:space="preserve"> update</w:t>
        </w:r>
      </w:hyperlink>
      <w:r w:rsidRPr="002B375F">
        <w:rPr>
          <w:rStyle w:val="Network-bodytext"/>
        </w:rPr>
        <w:t xml:space="preserve"> paper confirming the key topics and next steps for the input methodologies review. </w:t>
      </w:r>
    </w:p>
    <w:p w:rsidR="00694058" w:rsidRPr="00860E81" w:rsidRDefault="00694058" w:rsidP="002B375F">
      <w:pPr>
        <w:pStyle w:val="Heading2"/>
        <w:jc w:val="both"/>
      </w:pPr>
      <w:r w:rsidRPr="00860E81">
        <w:t>Electricity Authority</w:t>
      </w:r>
    </w:p>
    <w:p w:rsidR="00B755B9" w:rsidRPr="00860E81" w:rsidRDefault="00B755B9" w:rsidP="002B375F">
      <w:pPr>
        <w:pStyle w:val="Heading3"/>
        <w:rPr>
          <w:rStyle w:val="Network-bodytext"/>
          <w:color w:val="31849B"/>
          <w:kern w:val="0"/>
          <w:sz w:val="22"/>
        </w:rPr>
      </w:pPr>
      <w:r w:rsidRPr="00860E81">
        <w:t>Consultation on Evolving Technologies and Distribution Pricing</w:t>
      </w:r>
    </w:p>
    <w:p w:rsidR="00B755B9" w:rsidRPr="002B375F" w:rsidRDefault="00B755B9" w:rsidP="008F2FD1">
      <w:pPr>
        <w:rPr>
          <w:rStyle w:val="Network-bodytext"/>
        </w:rPr>
      </w:pPr>
      <w:r w:rsidRPr="002B375F">
        <w:rPr>
          <w:rStyle w:val="Network-bodytext"/>
        </w:rPr>
        <w:t xml:space="preserve">On 3 November 2015 the Electricity Authority </w:t>
      </w:r>
      <w:hyperlink r:id="rId59" w:anchor="c15642" w:history="1">
        <w:r w:rsidRPr="002B375F">
          <w:rPr>
            <w:rStyle w:val="Network-bodytext"/>
          </w:rPr>
          <w:t>commenced consultation</w:t>
        </w:r>
      </w:hyperlink>
      <w:r w:rsidRPr="002B375F">
        <w:rPr>
          <w:rStyle w:val="Network-bodytext"/>
        </w:rPr>
        <w:t xml:space="preserve"> on the implications of evolving technologies for the pricing of distribution services. </w:t>
      </w:r>
      <w:r w:rsidR="00860E81" w:rsidRPr="002B375F">
        <w:rPr>
          <w:rStyle w:val="Network-bodytext"/>
        </w:rPr>
        <w:t xml:space="preserve"> </w:t>
      </w:r>
      <w:r w:rsidRPr="002B375F">
        <w:rPr>
          <w:rStyle w:val="Network-bodytext"/>
        </w:rPr>
        <w:t xml:space="preserve">Evolving technologies may include electric vehicles, battery storage units, smart appliances, consumer apps and distributed generators (including solar panels). </w:t>
      </w:r>
      <w:r w:rsidR="00860E81" w:rsidRPr="002B375F">
        <w:rPr>
          <w:rStyle w:val="Network-bodytext"/>
        </w:rPr>
        <w:t xml:space="preserve"> </w:t>
      </w:r>
      <w:r w:rsidRPr="002B375F">
        <w:rPr>
          <w:rStyle w:val="Network-bodytext"/>
        </w:rPr>
        <w:t>The Electricity Authority believes that distribution pricing structures will need to change in order to maximise the long-term benefits of evolving technologies for consumers.</w:t>
      </w:r>
    </w:p>
    <w:p w:rsidR="00BD0BDF" w:rsidRPr="00860E81" w:rsidRDefault="00BD0BDF" w:rsidP="00C642D4">
      <w:pPr>
        <w:pStyle w:val="Heading2"/>
        <w:spacing w:line="240" w:lineRule="auto"/>
        <w:jc w:val="both"/>
        <w:rPr>
          <w:rStyle w:val="Network-bodytext"/>
          <w:b w:val="0"/>
        </w:rPr>
        <w:sectPr w:rsidR="00BD0BDF" w:rsidRPr="00860E81" w:rsidSect="003E7B10">
          <w:endnotePr>
            <w:numFmt w:val="decimal"/>
          </w:endnotePr>
          <w:pgSz w:w="11906" w:h="16838" w:code="9"/>
          <w:pgMar w:top="1985" w:right="851" w:bottom="1134" w:left="851" w:header="567" w:footer="567" w:gutter="0"/>
          <w:cols w:num="2" w:space="708" w:equalWidth="0">
            <w:col w:w="4748" w:space="708"/>
            <w:col w:w="4748"/>
          </w:cols>
          <w:docGrid w:linePitch="360"/>
        </w:sectPr>
      </w:pPr>
    </w:p>
    <w:p w:rsidR="00CE58F2" w:rsidRPr="00286F80" w:rsidRDefault="009A44DA" w:rsidP="00CB0302">
      <w:pPr>
        <w:rPr>
          <w:rFonts w:cs="Arial"/>
        </w:rPr>
      </w:pPr>
      <w:r w:rsidRPr="00286F80">
        <w:rPr>
          <w:rStyle w:val="Heading1Char"/>
        </w:rPr>
        <w:lastRenderedPageBreak/>
        <w:t>Notes on Interesting Decisions</w:t>
      </w:r>
    </w:p>
    <w:p w:rsidR="006A1636" w:rsidRPr="00E03274" w:rsidRDefault="006A1636" w:rsidP="006A1636">
      <w:pPr>
        <w:pStyle w:val="Heading3"/>
      </w:pPr>
      <w:r w:rsidRPr="00E03274">
        <w:t>Review of Water Pricing in the Australian Capital Territory</w:t>
      </w:r>
    </w:p>
    <w:p w:rsidR="006A1636" w:rsidRPr="00E03274" w:rsidRDefault="006A1636" w:rsidP="006A1636">
      <w:pPr>
        <w:pStyle w:val="Heading3"/>
        <w:rPr>
          <w:rStyle w:val="Network-bodytext"/>
          <w:b w:val="0"/>
        </w:rPr>
      </w:pPr>
      <w:r w:rsidRPr="00E03274">
        <w:rPr>
          <w:rStyle w:val="Network-bodytext"/>
          <w:b w:val="0"/>
        </w:rPr>
        <w:t xml:space="preserve">On 23 November 2015, the Independent Competition and Regulatory Commission (ICRC) of the Australian Capital Territory (ACT) released an issues paper as the first step in its review of Icon Water’s water and sewerage services tariffs. The ICRC argues that, while the current structure of Icon Water’s water and sewerage services tariffs ‘has served the ACT community well over the last 15 or so years’ that in recent years a ‘number of questions have been raised about whether improvements could be made to the structure of tariffs’.  </w:t>
      </w:r>
    </w:p>
    <w:p w:rsidR="006A1636" w:rsidRPr="00E03274" w:rsidRDefault="006A1636" w:rsidP="006A1636">
      <w:pPr>
        <w:pStyle w:val="Heading3"/>
        <w:rPr>
          <w:rStyle w:val="Network-bodytext"/>
          <w:b w:val="0"/>
        </w:rPr>
      </w:pPr>
      <w:r w:rsidRPr="00E03274">
        <w:rPr>
          <w:rStyle w:val="Network-bodytext"/>
          <w:b w:val="0"/>
        </w:rPr>
        <w:t xml:space="preserve">The ICRC’s </w:t>
      </w:r>
      <w:hyperlink r:id="rId60" w:history="1">
        <w:r w:rsidRPr="0046436E">
          <w:rPr>
            <w:rStyle w:val="Network-bodytext"/>
            <w:b w:val="0"/>
            <w:u w:val="single"/>
          </w:rPr>
          <w:t>issues paper</w:t>
        </w:r>
      </w:hyperlink>
      <w:r w:rsidRPr="00E03274">
        <w:rPr>
          <w:rStyle w:val="Network-bodytext"/>
          <w:b w:val="0"/>
        </w:rPr>
        <w:t xml:space="preserve"> sets out a proposed framework to guide the ICRC’s evaluation of the existing tariff structure and potential alternatives. This framework includes an overarching objective (to promote the efficient investment in, and efficient operation and use of, Icon Water’s regulated water and sewerage services to maximise the social welfare of the community over the long term) and a set of seven pricing principles (summarised on page 46).  The issues paper also canvasses a range of contextual and specific pricing issues that are relevant to this review.  Following release of the issues paper, the ICRC is planning to publish three technical papers on specific pricing matters: water demand elasticity, marginal cost pricing and trade waste pricing. </w:t>
      </w:r>
    </w:p>
    <w:p w:rsidR="006A1636" w:rsidRDefault="006A1636" w:rsidP="006A1636">
      <w:pPr>
        <w:pStyle w:val="Heading3"/>
        <w:rPr>
          <w:rStyle w:val="Network-bodytext"/>
          <w:b w:val="0"/>
        </w:rPr>
      </w:pPr>
      <w:r w:rsidRPr="00E03274">
        <w:rPr>
          <w:rStyle w:val="Network-bodytext"/>
          <w:b w:val="0"/>
        </w:rPr>
        <w:t>The ICRC is running an open process on all these papers, where stakeholders are free to make submissions on any of the papers at any time before the closing date (1 July 2016) and may make multiple submissions if so desired. The draft report is expected to be released in the second half of 2016, and there will be an opportunity for further comment following the release of the draft report.</w:t>
      </w:r>
    </w:p>
    <w:p w:rsidR="006A1636" w:rsidRPr="006F6192" w:rsidRDefault="006A1636" w:rsidP="006A1636">
      <w:pPr>
        <w:pStyle w:val="Heading3"/>
      </w:pPr>
      <w:r>
        <w:rPr>
          <w:lang w:val="en"/>
        </w:rPr>
        <w:t>Review of Retail Prices and Charges for Gas in New South Wales</w:t>
      </w:r>
    </w:p>
    <w:p w:rsidR="006A1636" w:rsidRPr="00972894" w:rsidRDefault="006A1636" w:rsidP="006A1636">
      <w:pPr>
        <w:rPr>
          <w:rStyle w:val="Network-bodytext"/>
          <w:rFonts w:eastAsia="Calibri"/>
        </w:rPr>
      </w:pPr>
      <w:r w:rsidRPr="00972894">
        <w:rPr>
          <w:rStyle w:val="Network-bodytext"/>
          <w:rFonts w:eastAsia="Calibri"/>
        </w:rPr>
        <w:t xml:space="preserve">On 12 November 2015 the Independent Pricing and Regulatory Tribunal (IPART) of New South Wales (NSW) released an </w:t>
      </w:r>
      <w:hyperlink r:id="rId61" w:history="1">
        <w:r w:rsidRPr="00972894">
          <w:rPr>
            <w:rStyle w:val="Network-bodytext"/>
            <w:rFonts w:eastAsia="Calibri"/>
            <w:u w:val="single"/>
          </w:rPr>
          <w:t>issues paper</w:t>
        </w:r>
      </w:hyperlink>
      <w:r w:rsidRPr="00972894">
        <w:rPr>
          <w:rStyle w:val="Network-bodytext"/>
          <w:rFonts w:eastAsia="Calibri"/>
        </w:rPr>
        <w:t xml:space="preserve"> inviting public comment on its proposed approach to regulating retail gas prices from 1 July 2016.  The IPART regulates retail gas prices that the Standard Retailers in NSW – AGL, ActewAGL and Origin Energy – charge residential and small business gas customers who have not signed a market contract.  </w:t>
      </w:r>
    </w:p>
    <w:p w:rsidR="006A1636" w:rsidRPr="00972894" w:rsidRDefault="006A1636" w:rsidP="006A1636">
      <w:pPr>
        <w:rPr>
          <w:rStyle w:val="Network-bodytext"/>
          <w:rFonts w:eastAsia="Calibri"/>
        </w:rPr>
      </w:pPr>
      <w:r w:rsidRPr="00972894">
        <w:rPr>
          <w:rStyle w:val="Network-bodytext"/>
          <w:rFonts w:eastAsia="Calibri"/>
        </w:rPr>
        <w:t xml:space="preserve">The NSW Government has asked the IPART to make new pricing agreements and the IPART has invited each of the Standard Retailers to propose a new </w:t>
      </w:r>
      <w:r w:rsidRPr="00972894">
        <w:rPr>
          <w:rStyle w:val="Network-bodytext"/>
          <w:rFonts w:eastAsia="Calibri"/>
        </w:rPr>
        <w:lastRenderedPageBreak/>
        <w:t>pricing agreement for 2016-17, including indicative price changes in 2017-18 and 2018-19.  These proposals are due in January 2016.  The Issues Paper invites public comment on its proposed approach to assess whether the retailer’s pricing proposals are reasonable and promote the long-term interests of customers.</w:t>
      </w:r>
    </w:p>
    <w:p w:rsidR="006A1636" w:rsidRPr="00972894" w:rsidRDefault="006A1636" w:rsidP="006A1636">
      <w:pPr>
        <w:rPr>
          <w:rStyle w:val="Network-bodytext"/>
          <w:rFonts w:eastAsia="Calibri"/>
        </w:rPr>
      </w:pPr>
      <w:r w:rsidRPr="00972894">
        <w:rPr>
          <w:rStyle w:val="Network-bodytext"/>
          <w:rFonts w:eastAsia="Calibri"/>
        </w:rPr>
        <w:t>A key issue for this review will be to determine efficient wholesale gas costs given the substantial changes occurring in the eastern Australian market.  The IPART is particularly interested in stakeholder views about how the recent commencement of liquid natural gas exports from Queensland is affecting wholesale gas costs for a gas retailer.</w:t>
      </w:r>
    </w:p>
    <w:p w:rsidR="006A1636" w:rsidRPr="00972894" w:rsidRDefault="006A1636" w:rsidP="006A1636">
      <w:pPr>
        <w:rPr>
          <w:rStyle w:val="Network-bodytext"/>
          <w:rFonts w:eastAsia="Calibri"/>
        </w:rPr>
      </w:pPr>
      <w:r w:rsidRPr="00972894">
        <w:rPr>
          <w:rStyle w:val="Network-bodytext"/>
          <w:rFonts w:eastAsia="Calibri"/>
        </w:rPr>
        <w:t xml:space="preserve">Further, as part of its review, the IPART will review the competitiveness of the retail gas market to identify and recommend additional measures to strengthen competition in regional areas.  The Minister for Industry, Resources and Energy recently announced that the NSW Government will look to deregulate retail gas prices from 1 July 2017 if there is an increase in competition, particularly in regional areas of the state.  </w:t>
      </w:r>
    </w:p>
    <w:p w:rsidR="006A1636" w:rsidRPr="00972894" w:rsidRDefault="006A1636" w:rsidP="006A1636">
      <w:pPr>
        <w:rPr>
          <w:rStyle w:val="Network-bodytext"/>
          <w:rFonts w:eastAsia="Calibri"/>
        </w:rPr>
      </w:pPr>
      <w:r w:rsidRPr="00972894">
        <w:rPr>
          <w:rStyle w:val="Network-bodytext"/>
          <w:rFonts w:eastAsia="Calibri"/>
        </w:rPr>
        <w:t>The IPART’s preliminary view is that it can best meet the objectives by retail gas prices that promote the long-term interest of gas customers.  It considers that this encompasses:  encouraging the efficient use of gas by setting regulated prices to recover the efficient costs of supply; promoting customer choice and efficient entry and investment in the retail gas market by ensuring regulated retail prices provide an appropriate return, promoting regulatory certainty and transparency in regulatory decision-making, and where possible, reducing any barriers to entry and customer participation in the retail market; and ensuring the financial viability of efficient retailers by taking account of the risks faced by efficient and prudent gas retailers.</w:t>
      </w:r>
    </w:p>
    <w:p w:rsidR="006A1636" w:rsidRPr="001B0B68" w:rsidRDefault="006A1636" w:rsidP="006A1636">
      <w:pPr>
        <w:pStyle w:val="Heading3"/>
        <w:rPr>
          <w:rFonts w:eastAsia="Calibri"/>
          <w:bCs/>
        </w:rPr>
      </w:pPr>
      <w:r w:rsidRPr="001B0B68">
        <w:rPr>
          <w:rFonts w:eastAsia="Calibri"/>
        </w:rPr>
        <w:t>Market Value Alternative Use (MVAU) Valuation Methodology for Airport Land – Draft Amendments</w:t>
      </w:r>
      <w:r w:rsidRPr="001B0B68">
        <w:rPr>
          <w:rFonts w:eastAsia="Calibri"/>
          <w:szCs w:val="22"/>
        </w:rPr>
        <w:t xml:space="preserve"> </w:t>
      </w:r>
    </w:p>
    <w:p w:rsidR="006A1636" w:rsidRPr="00972894" w:rsidRDefault="006A1636" w:rsidP="006A1636">
      <w:pPr>
        <w:rPr>
          <w:rStyle w:val="Network-bodytext"/>
          <w:rFonts w:eastAsia="Calibri"/>
        </w:rPr>
      </w:pPr>
      <w:r w:rsidRPr="00972894">
        <w:rPr>
          <w:rStyle w:val="Network-bodytext"/>
          <w:rFonts w:eastAsia="Calibri"/>
        </w:rPr>
        <w:t xml:space="preserve">On 10 November 2015 the New Zealand Commerce Commission (CCNZ) </w:t>
      </w:r>
      <w:hyperlink r:id="rId62" w:history="1">
        <w:r w:rsidRPr="00972894">
          <w:rPr>
            <w:rStyle w:val="Network-bodytext"/>
            <w:rFonts w:eastAsia="Calibri"/>
            <w:u w:val="single"/>
          </w:rPr>
          <w:t>released</w:t>
        </w:r>
      </w:hyperlink>
      <w:r w:rsidRPr="00972894">
        <w:rPr>
          <w:rStyle w:val="Network-bodytext"/>
          <w:rFonts w:eastAsia="Calibri"/>
        </w:rPr>
        <w:t xml:space="preserve"> draft amendments for consultation on the application of the airport land valuation rules as part of the input methodologies (IMs) review.  The IMs are the rules, requirements and processes that apply to economic regulation in New Zealand.  Under Part 4 of the Commerce Act, the CCNZ is required to set and apply IMs to regulated electricity lines services (distribution and transmission); gas pipelines (distribution and transmission); and specified airport services.</w:t>
      </w:r>
    </w:p>
    <w:p w:rsidR="006A1636" w:rsidRPr="00972894" w:rsidRDefault="006A1636" w:rsidP="006A1636">
      <w:pPr>
        <w:rPr>
          <w:rStyle w:val="Network-bodytext"/>
          <w:rFonts w:eastAsia="Calibri"/>
        </w:rPr>
      </w:pPr>
      <w:r w:rsidRPr="00972894">
        <w:rPr>
          <w:rStyle w:val="Network-bodytext"/>
          <w:rFonts w:eastAsia="Calibri"/>
        </w:rPr>
        <w:t xml:space="preserve">The IM review is the opportunity to assess whether there are any necessary changes to the IMs to </w:t>
      </w:r>
      <w:r w:rsidRPr="00972894">
        <w:rPr>
          <w:rStyle w:val="Network-bodytext"/>
          <w:rFonts w:eastAsia="Calibri"/>
        </w:rPr>
        <w:lastRenderedPageBreak/>
        <w:t>promote more effectively the long-term benefit of consumers.  The review is being undertaken in consultation with all stakeholders.  The Commerce Act requires the CCNZ to review each IM within seven years of its date of publication and, after that, at intervals of no more than seven years.</w:t>
      </w:r>
    </w:p>
    <w:p w:rsidR="006A1636" w:rsidRPr="001B0B68" w:rsidRDefault="006A1636" w:rsidP="006A1636">
      <w:pPr>
        <w:rPr>
          <w:rFonts w:eastAsia="Calibri"/>
          <w:color w:val="595959"/>
          <w:kern w:val="36"/>
        </w:rPr>
      </w:pPr>
      <w:r w:rsidRPr="001B0B68">
        <w:rPr>
          <w:rFonts w:eastAsia="Calibri"/>
          <w:color w:val="595959"/>
          <w:kern w:val="36"/>
        </w:rPr>
        <w:t xml:space="preserve">The CCNZ announced in July 2015 that it would accelerate this tranche of work ahead of the main review to provide greater certainty before the next airport price setting events in mid-2017.  Accordingly, the CCNZ is now seeking submissions on the draft amendments relating to the application of the market value alternative use (MVAU) valuation methodology for airport land.  The matters covered by the draft decision include: the steps involved in determining </w:t>
      </w:r>
      <w:r>
        <w:rPr>
          <w:rFonts w:eastAsia="Calibri"/>
          <w:color w:val="595959"/>
          <w:kern w:val="36"/>
        </w:rPr>
        <w:t xml:space="preserve">the </w:t>
      </w:r>
      <w:r w:rsidRPr="001B0B68">
        <w:rPr>
          <w:rFonts w:eastAsia="Calibri"/>
          <w:color w:val="595959"/>
          <w:kern w:val="36"/>
        </w:rPr>
        <w:t>MVAU; special assumptions; and practical valuation requirements.</w:t>
      </w:r>
    </w:p>
    <w:p w:rsidR="00286F80" w:rsidRPr="00286F80" w:rsidRDefault="006A1636" w:rsidP="006A1636">
      <w:pPr>
        <w:rPr>
          <w:rStyle w:val="Network-bodytext"/>
        </w:rPr>
      </w:pPr>
      <w:r w:rsidRPr="001B0B68">
        <w:rPr>
          <w:rFonts w:eastAsia="Calibri"/>
          <w:color w:val="595959"/>
          <w:kern w:val="36"/>
        </w:rPr>
        <w:t>The CCNZ states that transparency and predictability in relation to asset valuation are important characteristics of an effective light-handed regulatory regime. It remains on track to complete this work by February 2016, which will ensure Auckland and Christchurch airports have the ability to prepare updated land valuations in advance of their next price-setting events in 2017.  The CCNZ intends to complete the main IM review by December 2016. Review of the application of the airport land valuation rules (the focus of this media release) is being brought forward for completion ahead of the main IM review.  This is to provide greater certainty before the next airport price setting events in mid-2017.</w:t>
      </w:r>
      <w:r w:rsidR="00286F80" w:rsidRPr="00286F80">
        <w:rPr>
          <w:rStyle w:val="Network-bodytext"/>
        </w:rPr>
        <w:t xml:space="preserve"> </w:t>
      </w:r>
    </w:p>
    <w:p w:rsidR="00034FA5" w:rsidRPr="00286F80" w:rsidRDefault="00034FA5" w:rsidP="00583358">
      <w:pPr>
        <w:autoSpaceDE w:val="0"/>
        <w:autoSpaceDN w:val="0"/>
        <w:rPr>
          <w:rStyle w:val="Network-bodytext"/>
          <w:rFonts w:eastAsia="Calibri"/>
        </w:rPr>
      </w:pPr>
    </w:p>
    <w:p w:rsidR="00034FA5" w:rsidRPr="00286F80" w:rsidRDefault="00034FA5" w:rsidP="00034FA5">
      <w:pPr>
        <w:pStyle w:val="Heading2"/>
        <w:rPr>
          <w:rStyle w:val="Network-bodytext"/>
          <w:rFonts w:eastAsia="Calibri"/>
        </w:rPr>
      </w:pPr>
    </w:p>
    <w:p w:rsidR="00D20B25" w:rsidRPr="00FE236B" w:rsidRDefault="00CE58F2" w:rsidP="00B83AFC">
      <w:pPr>
        <w:pStyle w:val="Heading1"/>
      </w:pPr>
      <w:r w:rsidRPr="00F570D6">
        <w:rPr>
          <w:i/>
        </w:rPr>
        <w:br w:type="page"/>
      </w:r>
      <w:r w:rsidR="00D20B25" w:rsidRPr="00FE236B">
        <w:lastRenderedPageBreak/>
        <w:t>Regulatory News</w:t>
      </w:r>
    </w:p>
    <w:p w:rsidR="005E5762" w:rsidRPr="00172698" w:rsidRDefault="005E5762" w:rsidP="005E5762">
      <w:pPr>
        <w:pStyle w:val="Heading3"/>
      </w:pPr>
      <w:r w:rsidRPr="00172698">
        <w:t xml:space="preserve">The Club of Regulators at the University Paris-Dauphine </w:t>
      </w:r>
    </w:p>
    <w:p w:rsidR="005E5762" w:rsidRDefault="005E5762" w:rsidP="005E5762">
      <w:pPr>
        <w:rPr>
          <w:rStyle w:val="Network-bodytext"/>
          <w:rFonts w:eastAsia="Calibri"/>
        </w:rPr>
      </w:pPr>
      <w:r>
        <w:rPr>
          <w:rStyle w:val="Network-bodytext"/>
          <w:rFonts w:eastAsia="Calibri"/>
        </w:rPr>
        <w:t>The Club of Regulators is an independent forum inside the Chair Governance and Regulation hosted at the University Paris-Dauphine.  The Club brings together regulatory authorities willing to exchange on institutional and organisational challenges which are common to different sectors, with the aim of proposing coherent actions and promoting cooperation at both national and European levels.  The Club actively participates in the activities of the Chair Governance and Regulation and benefits from a multidisciplinary platform where regulation stakeholders (regulatory agencies and regulated entities) and experts (legal and economic) meet and engage in constructive debates and exchanges.  The originality of this platform lies in bringing together authorities regulating energy (electricity and gas), transport (rail, road, and air), communications and media, online gambling, and health-care.</w:t>
      </w:r>
    </w:p>
    <w:p w:rsidR="008D1808" w:rsidRPr="00BD4B67" w:rsidRDefault="005E5762" w:rsidP="005E5762">
      <w:pPr>
        <w:rPr>
          <w:rStyle w:val="Network-bodytext"/>
          <w:rFonts w:eastAsia="Calibri"/>
        </w:rPr>
      </w:pPr>
      <w:r>
        <w:rPr>
          <w:rStyle w:val="Network-bodytext"/>
          <w:rFonts w:eastAsia="Calibri"/>
        </w:rPr>
        <w:t>The Club of Regulators is directed by Eric Brousseau, Professor of Economics and Management, and Director of the Doctoral School at the University Paris-Dauphine.  The Club’s Board is composed of the Scientific Director and a representative of each member of the Club.</w:t>
      </w:r>
      <w:r w:rsidR="00BD4B67">
        <w:rPr>
          <w:rStyle w:val="Network-bodytext"/>
          <w:rFonts w:eastAsia="Calibri"/>
        </w:rPr>
        <w:t xml:space="preserve">  </w:t>
      </w:r>
      <w:hyperlink r:id="rId63" w:history="1">
        <w:r w:rsidR="008D1808" w:rsidRPr="00BD4B67">
          <w:rPr>
            <w:rStyle w:val="Network-bodytext"/>
            <w:b/>
          </w:rPr>
          <w:t>Click here for more information</w:t>
        </w:r>
      </w:hyperlink>
      <w:r w:rsidR="00BD4B67">
        <w:rPr>
          <w:rStyle w:val="Network-bodytext"/>
          <w:b/>
        </w:rPr>
        <w:t>.</w:t>
      </w:r>
    </w:p>
    <w:p w:rsidR="005E5762" w:rsidRPr="003E7B10" w:rsidRDefault="005E5762" w:rsidP="003E7B10">
      <w:pPr>
        <w:pStyle w:val="Heading3"/>
        <w:rPr>
          <w:rStyle w:val="Network-bodytext"/>
          <w:rFonts w:eastAsia="Calibri"/>
          <w:color w:val="31849B"/>
          <w:kern w:val="0"/>
          <w:sz w:val="22"/>
        </w:rPr>
      </w:pPr>
      <w:r w:rsidRPr="003E7B10">
        <w:rPr>
          <w:rStyle w:val="Network-bodytext"/>
          <w:rFonts w:eastAsia="Calibri"/>
          <w:color w:val="31849B"/>
          <w:kern w:val="0"/>
          <w:sz w:val="22"/>
        </w:rPr>
        <w:t>Tasmanian Economic Regulator</w:t>
      </w:r>
    </w:p>
    <w:p w:rsidR="005E5762" w:rsidRPr="00271D03" w:rsidRDefault="005E5762" w:rsidP="005E5762">
      <w:pPr>
        <w:pStyle w:val="StyleGray-65LinespacingsinglePatternClearWhite"/>
        <w:rPr>
          <w:bCs/>
          <w:kern w:val="36"/>
        </w:rPr>
      </w:pPr>
      <w:r w:rsidRPr="00271D03">
        <w:rPr>
          <w:bCs/>
          <w:kern w:val="36"/>
        </w:rPr>
        <w:t xml:space="preserve">On 3 November 2015, the Tasmanian Treasurer, </w:t>
      </w:r>
      <w:r w:rsidRPr="005E5762">
        <w:rPr>
          <w:bCs/>
          <w:kern w:val="36"/>
        </w:rPr>
        <w:t>Peter Gutwein,</w:t>
      </w:r>
      <w:r w:rsidRPr="006D4B20">
        <w:rPr>
          <w:b/>
          <w:bCs/>
          <w:kern w:val="36"/>
        </w:rPr>
        <w:t xml:space="preserve"> </w:t>
      </w:r>
      <w:hyperlink r:id="rId64" w:history="1">
        <w:r w:rsidRPr="006D4B20">
          <w:rPr>
            <w:rStyle w:val="Hyperlink"/>
            <w:b/>
            <w:bCs/>
            <w:noProof w:val="0"/>
            <w:color w:val="595959"/>
            <w:kern w:val="36"/>
            <w:u w:val="none"/>
          </w:rPr>
          <w:t>announced</w:t>
        </w:r>
      </w:hyperlink>
      <w:r w:rsidRPr="005E5762">
        <w:rPr>
          <w:bCs/>
          <w:kern w:val="36"/>
        </w:rPr>
        <w:t xml:space="preserve"> the appointment of Joe</w:t>
      </w:r>
      <w:r w:rsidRPr="00271D03">
        <w:rPr>
          <w:bCs/>
          <w:kern w:val="36"/>
        </w:rPr>
        <w:t xml:space="preserve"> Dimasi as the Tasmanian Economic Regulator.  </w:t>
      </w:r>
      <w:r w:rsidRPr="00271D03">
        <w:rPr>
          <w:bCs/>
          <w:i/>
          <w:kern w:val="36"/>
        </w:rPr>
        <w:t>Inter alia</w:t>
      </w:r>
      <w:r w:rsidRPr="00271D03">
        <w:rPr>
          <w:bCs/>
          <w:kern w:val="36"/>
        </w:rPr>
        <w:t xml:space="preserve">, Joe Dimasi has served as a commissioner with the ACCC; headed the regulatory division of the ACCC; worked as an economist with the Industry Commission (now Productivity Commission); and held positions in the Victorian public service. </w:t>
      </w:r>
    </w:p>
    <w:p w:rsidR="00AD3C5D" w:rsidRPr="003F4F8C" w:rsidRDefault="00AD3C5D" w:rsidP="003F4F8C">
      <w:pPr>
        <w:pStyle w:val="StyleGray-65LinespacingsinglePatternClearWhite"/>
        <w:rPr>
          <w:rStyle w:val="Network-bodytext"/>
        </w:rPr>
      </w:pPr>
    </w:p>
    <w:p w:rsidR="00E77FAD" w:rsidRPr="003F4F8C" w:rsidRDefault="00E77FAD" w:rsidP="003F4F8C">
      <w:pPr>
        <w:pStyle w:val="StyleGray-65LinespacingsinglePatternClearWhite"/>
        <w:rPr>
          <w:rStyle w:val="Network-bodytext"/>
        </w:rPr>
      </w:pPr>
    </w:p>
    <w:p w:rsidR="0015784B" w:rsidRPr="003F4F8C" w:rsidRDefault="00636BBE" w:rsidP="003F4F8C">
      <w:pPr>
        <w:pStyle w:val="StyleGray-65LinespacingsinglePatternClearWhite"/>
        <w:rPr>
          <w:rStyle w:val="Network-bodytext"/>
        </w:rPr>
      </w:pPr>
      <w:r>
        <w:rPr>
          <w:noProof/>
          <w:kern w:val="36"/>
        </w:rPr>
        <w:pict>
          <v:shape id="_x0000_s1483" type="#_x0000_t202" style="position:absolute;left:0;text-align:left;margin-left:1.7pt;margin-top:.35pt;width:502.15pt;height:57.85pt;z-index:251660288" fillcolor="silver" strokecolor="#969696">
            <v:textbox style="mso-next-textbox:#_x0000_s1483">
              <w:txbxContent>
                <w:p w:rsidR="00F47366" w:rsidRPr="00656DCD" w:rsidRDefault="00F47366" w:rsidP="003F4F8C">
                  <w:pPr>
                    <w:rPr>
                      <w:rStyle w:val="Network-bodytext"/>
                    </w:rPr>
                  </w:pPr>
                  <w:r w:rsidRPr="003F4F8C">
                    <w:rPr>
                      <w:rStyle w:val="Network-bodytext"/>
                      <w:rFonts w:eastAsia="Calibri"/>
                      <w:i/>
                    </w:rPr>
                    <w:t>Network</w:t>
                  </w:r>
                  <w:r w:rsidRPr="003F4F8C">
                    <w:rPr>
                      <w:rStyle w:val="Network-bodytext"/>
                      <w:rFonts w:eastAsia="Calibri"/>
                    </w:rPr>
                    <w:t xml:space="preserve"> is a quarterly publication of the Australian Competition and Consumer Commission for the Utility Regulators Forum.  For editorial enquiries please contact Rob Albon (</w:t>
                  </w:r>
                  <w:hyperlink r:id="rId65" w:history="1">
                    <w:r w:rsidRPr="003F4F8C">
                      <w:rPr>
                        <w:rStyle w:val="Network-bodytext"/>
                        <w:rFonts w:eastAsia="Calibri"/>
                      </w:rPr>
                      <w:t>Robert.Albon@accc.gov.au</w:t>
                    </w:r>
                  </w:hyperlink>
                  <w:r w:rsidRPr="003F4F8C">
                    <w:rPr>
                      <w:rStyle w:val="Network-bodytext"/>
                      <w:rFonts w:eastAsia="Calibri"/>
                    </w:rPr>
                    <w:t>) and for mailing list enquiries please contact Genevieve Pound (</w:t>
                  </w:r>
                  <w:hyperlink r:id="rId66" w:history="1">
                    <w:r w:rsidRPr="003F4F8C">
                      <w:rPr>
                        <w:rStyle w:val="Network-bodytext"/>
                        <w:rFonts w:eastAsia="Calibri"/>
                      </w:rPr>
                      <w:t>Genevieve.Pound@accc.gov.au</w:t>
                    </w:r>
                  </w:hyperlink>
                  <w:r w:rsidRPr="003F4F8C">
                    <w:rPr>
                      <w:rStyle w:val="Network-bodytext"/>
                      <w:rFonts w:eastAsia="Calibri"/>
                    </w:rPr>
                    <w:t>).</w:t>
                  </w:r>
                </w:p>
              </w:txbxContent>
            </v:textbox>
          </v:shape>
        </w:pict>
      </w:r>
    </w:p>
    <w:p w:rsidR="00283099" w:rsidRPr="003F4F8C" w:rsidRDefault="00636BBE" w:rsidP="003F4F8C">
      <w:pPr>
        <w:pStyle w:val="StyleGray-65LinespacingsinglePatternClearWhite"/>
        <w:rPr>
          <w:rStyle w:val="Network-bodytext"/>
        </w:rPr>
      </w:pPr>
      <w:r>
        <w:rPr>
          <w:rStyle w:val="Network-bodytext"/>
        </w:rPr>
        <w:pict>
          <v:shape id="_x0000_s1482" type="#_x0000_t202" style="position:absolute;left:0;text-align:left;margin-left:1.7pt;margin-top:318.25pt;width:502.15pt;height:57.85pt;z-index:251659264" fillcolor="silver" strokecolor="#969696">
            <v:textbox style="mso-next-textbox:#_x0000_s1482">
              <w:txbxContent>
                <w:p w:rsidR="00F47366" w:rsidRPr="00656DCD" w:rsidRDefault="00F47366" w:rsidP="00AD3C5D">
                  <w:pPr>
                    <w:rPr>
                      <w:rStyle w:val="Network-bodytext"/>
                    </w:rPr>
                  </w:pPr>
                  <w:r w:rsidRPr="00AD3C5D">
                    <w:rPr>
                      <w:rStyle w:val="Network-bodytext"/>
                      <w:rFonts w:eastAsia="Calibri"/>
                      <w:i/>
                    </w:rPr>
                    <w:t>Network</w:t>
                  </w:r>
                  <w:r w:rsidRPr="00AD3C5D">
                    <w:rPr>
                      <w:rStyle w:val="Network-bodytext"/>
                      <w:rFonts w:eastAsia="Calibri"/>
                    </w:rPr>
                    <w:t xml:space="preserve"> is a quarterly publication of the Australian Competition and Consumer Commission for the Utility Regulators Forum.  For editorial enquiries please contact Rob Albon (</w:t>
                  </w:r>
                  <w:hyperlink r:id="rId67" w:history="1">
                    <w:r w:rsidRPr="00AD3C5D">
                      <w:rPr>
                        <w:rStyle w:val="Network-bodytext"/>
                        <w:rFonts w:eastAsia="Calibri"/>
                      </w:rPr>
                      <w:t>Robert.Albon@accc.gov.au</w:t>
                    </w:r>
                  </w:hyperlink>
                  <w:r w:rsidRPr="00AD3C5D">
                    <w:rPr>
                      <w:rStyle w:val="Network-bodytext"/>
                      <w:rFonts w:eastAsia="Calibri"/>
                    </w:rPr>
                    <w:t>) and for mailing list enquiries please contact Genevieve Pound (</w:t>
                  </w:r>
                  <w:hyperlink r:id="rId68" w:history="1">
                    <w:r w:rsidRPr="00AD3C5D">
                      <w:rPr>
                        <w:rStyle w:val="Network-bodytext"/>
                        <w:rFonts w:eastAsia="Calibri"/>
                      </w:rPr>
                      <w:t>Genevieve.Pound@accc.gov.au</w:t>
                    </w:r>
                  </w:hyperlink>
                  <w:r w:rsidRPr="00AD3C5D">
                    <w:rPr>
                      <w:rStyle w:val="Network-bodytext"/>
                      <w:rFonts w:eastAsia="Calibri"/>
                    </w:rPr>
                    <w:t>).</w:t>
                  </w:r>
                </w:p>
              </w:txbxContent>
            </v:textbox>
          </v:shape>
        </w:pict>
      </w:r>
    </w:p>
    <w:sectPr w:rsidR="00283099" w:rsidRPr="003F4F8C" w:rsidSect="00BD0BDF">
      <w:endnotePr>
        <w:numFmt w:val="decimal"/>
      </w:endnotePr>
      <w:pgSz w:w="11906" w:h="16838" w:code="9"/>
      <w:pgMar w:top="1985" w:right="851" w:bottom="1134" w:left="851" w:header="567" w:footer="567" w:gutter="0"/>
      <w:cols w:num="2" w:space="708" w:equalWidth="0">
        <w:col w:w="4748" w:space="708"/>
        <w:col w:w="4748"/>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366" w:rsidRDefault="00F47366">
      <w:r>
        <w:separator/>
      </w:r>
    </w:p>
  </w:endnote>
  <w:endnote w:type="continuationSeparator" w:id="0">
    <w:p w:rsidR="00F47366" w:rsidRDefault="00F4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F47366" w:rsidP="003978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7366" w:rsidRDefault="00F47366" w:rsidP="003978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Pr="00131260" w:rsidRDefault="00F47366"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636BBE">
      <w:rPr>
        <w:rStyle w:val="PageNumber"/>
        <w:noProof/>
      </w:rPr>
      <w:t>2</w:t>
    </w:r>
    <w:r w:rsidRPr="00131260">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Pr="00FA1632" w:rsidRDefault="00F47366" w:rsidP="00FA1632">
    <w:pPr>
      <w:pStyle w:val="Networkfooter"/>
    </w:pPr>
    <w:r>
      <w:rPr>
        <w:rStyle w:val="FootnoteReference"/>
      </w:rPr>
      <w:footnoteRef/>
    </w:r>
    <w:r>
      <w:t xml:space="preserve"> Ranjini Nayager is the Chief Executive and the Chief General Counsel for the Independent Competition and Regulatory Commission of the Australian Capital Territory.  Ranjini has been engaged in regulatory areas for most of her career, predominantly in financial services both in Australia and internationally, including being a regulator and adviser for global companies on projects involving regulators such as the SEC, BaFIN, FSA, APRA and the BIS.  Adam Wilson is Chief Executive Officer of the Essential Services Commission of South Australia</w:t>
    </w:r>
    <w:r w:rsidR="002F4658">
      <w:t xml:space="preserve"> (ESCOSA)</w:t>
    </w:r>
    <w:r>
      <w:t>.  The</w:t>
    </w:r>
    <w:r w:rsidR="00F06FC1">
      <w:t xml:space="preserve"> views and positions</w:t>
    </w:r>
    <w:r w:rsidR="00320E82">
      <w:t xml:space="preserve"> expressed in this paper are those of the authors and should not be attributed to organisations they represent.  </w:t>
    </w:r>
    <w:r w:rsidR="001C1126">
      <w:t xml:space="preserve">The authors would like to acknowledge Ms Kate Morrison and Ms Linda South (ESCOSA) for their assistance in finalising the paper.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F47366" w:rsidP="00131260">
    <w:pPr>
      <w:pStyle w:val="NetworkFooter0"/>
      <w:jc w:val="center"/>
    </w:pPr>
    <w:r>
      <w:fldChar w:fldCharType="begin"/>
    </w:r>
    <w:r>
      <w:instrText xml:space="preserve"> PAGE   \* MERGEFORMAT </w:instrText>
    </w:r>
    <w:r>
      <w:fldChar w:fldCharType="separate"/>
    </w:r>
    <w:r w:rsidR="00636BBE">
      <w:rPr>
        <w:noProof/>
      </w:rPr>
      <w:t>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F47366" w:rsidP="006A7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7366" w:rsidRDefault="00F47366" w:rsidP="006A79E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Pr="00131260" w:rsidRDefault="00F47366"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636BBE">
      <w:rPr>
        <w:rStyle w:val="PageNumber"/>
        <w:noProof/>
      </w:rPr>
      <w:t>16</w:t>
    </w:r>
    <w:r w:rsidRPr="0013126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366" w:rsidRDefault="00F47366">
      <w:r>
        <w:separator/>
      </w:r>
    </w:p>
  </w:footnote>
  <w:footnote w:type="continuationSeparator" w:id="0">
    <w:p w:rsidR="00F47366" w:rsidRDefault="00F47366">
      <w:r>
        <w:continuationSeparator/>
      </w:r>
    </w:p>
  </w:footnote>
  <w:footnote w:id="1">
    <w:p w:rsidR="00AC5DA4" w:rsidRPr="00385187" w:rsidRDefault="00AC5DA4" w:rsidP="00AC5DA4">
      <w:pPr>
        <w:pStyle w:val="Networkfooter"/>
      </w:pPr>
      <w:r w:rsidRPr="00385187">
        <w:rPr>
          <w:rStyle w:val="FootnoteReference"/>
        </w:rPr>
        <w:footnoteRef/>
      </w:r>
      <w:r w:rsidRPr="00385187">
        <w:t xml:space="preserve"> Cross and Harris (1991) at 72.  Cf MacAdam and Pyke (1998) at 41 [3.17].</w:t>
      </w:r>
    </w:p>
  </w:footnote>
  <w:footnote w:id="2">
    <w:p w:rsidR="00AC5DA4" w:rsidRPr="00AC5DA4" w:rsidRDefault="00AC5DA4" w:rsidP="00AC5DA4">
      <w:pPr>
        <w:pStyle w:val="Networkfooter"/>
        <w:rPr>
          <w:i/>
        </w:rPr>
      </w:pPr>
      <w:r>
        <w:rPr>
          <w:rStyle w:val="FootnoteReference"/>
        </w:rPr>
        <w:footnoteRef/>
      </w:r>
      <w:r>
        <w:t xml:space="preserve"> Professor Charles Francis Xavier, </w:t>
      </w:r>
      <w:r>
        <w:rPr>
          <w:i/>
        </w:rPr>
        <w:t>X-Men (2000)</w:t>
      </w:r>
    </w:p>
  </w:footnote>
  <w:footnote w:id="3">
    <w:p w:rsidR="00816A93" w:rsidRDefault="00816A93" w:rsidP="00816A93">
      <w:pPr>
        <w:pStyle w:val="Networkfooter"/>
      </w:pPr>
      <w:r>
        <w:rPr>
          <w:rStyle w:val="FootnoteReference"/>
        </w:rPr>
        <w:footnoteRef/>
      </w:r>
      <w:r>
        <w:t xml:space="preserve"> 647 F. 3d 1144 – Court of Appeals, Dist. Of Columbia Circuit.</w:t>
      </w:r>
    </w:p>
  </w:footnote>
  <w:footnote w:id="4">
    <w:p w:rsidR="00816A93" w:rsidRDefault="00816A93" w:rsidP="00816A93">
      <w:pPr>
        <w:pStyle w:val="Networkfooter"/>
      </w:pPr>
      <w:r>
        <w:rPr>
          <w:rStyle w:val="FootnoteReference"/>
        </w:rPr>
        <w:footnoteRef/>
      </w:r>
      <w:r>
        <w:t xml:space="preserve"> Chevron, U.S.A., Inc. V. Natural Resource Defense Council, Inc. 467 U.A. 837 (1984).</w:t>
      </w:r>
    </w:p>
  </w:footnote>
  <w:footnote w:id="5">
    <w:p w:rsidR="00816A93" w:rsidRDefault="00816A93" w:rsidP="00816A93">
      <w:pPr>
        <w:pStyle w:val="Networkfooter"/>
      </w:pPr>
      <w:r>
        <w:rPr>
          <w:rStyle w:val="FootnoteReference"/>
        </w:rPr>
        <w:footnoteRef/>
      </w:r>
      <w:r>
        <w:t xml:space="preserve"> Alexis de Tocqueville, Democracy in America (1835).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F47366">
    <w:r>
      <w:rPr>
        <w:noProof/>
      </w:rPr>
      <w:drawing>
        <wp:anchor distT="0" distB="0" distL="114300" distR="114300" simplePos="0" relativeHeight="251657728" behindDoc="1" locked="0" layoutInCell="1" allowOverlap="0" wp14:anchorId="7B7908B6" wp14:editId="6D501CA2">
          <wp:simplePos x="0" y="0"/>
          <wp:positionH relativeFrom="page">
            <wp:posOffset>-31115</wp:posOffset>
          </wp:positionH>
          <wp:positionV relativeFrom="page">
            <wp:posOffset>-76835</wp:posOffset>
          </wp:positionV>
          <wp:extent cx="7628255" cy="889635"/>
          <wp:effectExtent l="19050" t="0" r="0" b="0"/>
          <wp:wrapNone/>
          <wp:docPr id="5" name="Picture 5" descr="Network_v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v1_p2"/>
                  <pic:cNvPicPr>
                    <a:picLocks noChangeAspect="1" noChangeArrowheads="1"/>
                  </pic:cNvPicPr>
                </pic:nvPicPr>
                <pic:blipFill>
                  <a:blip r:embed="rId1"/>
                  <a:srcRect/>
                  <a:stretch>
                    <a:fillRect/>
                  </a:stretch>
                </pic:blipFill>
                <pic:spPr bwMode="auto">
                  <a:xfrm>
                    <a:off x="0" y="0"/>
                    <a:ext cx="7628255" cy="8896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F47366">
    <w:pPr>
      <w:pStyle w:val="Header"/>
    </w:pPr>
    <w:r>
      <w:rPr>
        <w:noProof/>
      </w:rPr>
      <w:drawing>
        <wp:anchor distT="0" distB="0" distL="114300" distR="114300" simplePos="0" relativeHeight="251656704" behindDoc="1" locked="0" layoutInCell="1" allowOverlap="0" wp14:anchorId="3567700F" wp14:editId="5C42B701">
          <wp:simplePos x="0" y="0"/>
          <wp:positionH relativeFrom="page">
            <wp:posOffset>-31115</wp:posOffset>
          </wp:positionH>
          <wp:positionV relativeFrom="page">
            <wp:posOffset>-76835</wp:posOffset>
          </wp:positionV>
          <wp:extent cx="7626985" cy="1790065"/>
          <wp:effectExtent l="19050" t="0" r="0" b="0"/>
          <wp:wrapNone/>
          <wp:docPr id="6" name="Picture 6" descr="Networ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v1"/>
                  <pic:cNvPicPr>
                    <a:picLocks noChangeAspect="1" noChangeArrowheads="1"/>
                  </pic:cNvPicPr>
                </pic:nvPicPr>
                <pic:blipFill>
                  <a:blip r:embed="rId1"/>
                  <a:srcRect/>
                  <a:stretch>
                    <a:fillRect/>
                  </a:stretch>
                </pic:blipFill>
                <pic:spPr bwMode="auto">
                  <a:xfrm>
                    <a:off x="0" y="0"/>
                    <a:ext cx="7626985" cy="1790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366" w:rsidRDefault="00636BB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45pt;margin-top:-6.05pt;width:600.65pt;height:70.05pt;z-index:-251657728;mso-position-horizontal-relative:page;mso-position-vertical-relative:page" o:allowoverlap="f">
          <v:imagedata r:id="rId1" o:title="Network_v1_p2"/>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845"/>
    <w:multiLevelType w:val="hybridMultilevel"/>
    <w:tmpl w:val="F4B2E496"/>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066C6"/>
    <w:multiLevelType w:val="multilevel"/>
    <w:tmpl w:val="219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E2E29"/>
    <w:multiLevelType w:val="multilevel"/>
    <w:tmpl w:val="4922F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179025BA"/>
    <w:multiLevelType w:val="hybridMultilevel"/>
    <w:tmpl w:val="747E99C2"/>
    <w:lvl w:ilvl="0" w:tplc="2C5057B6">
      <w:start w:val="1"/>
      <w:numFmt w:val="bullet"/>
      <w:pStyle w:val="ListBullet3"/>
      <w:lvlText w:val=""/>
      <w:lvlJc w:val="left"/>
      <w:pPr>
        <w:ind w:left="1080" w:hanging="360"/>
      </w:pPr>
      <w:rPr>
        <w:rFonts w:ascii="Symbol" w:hAnsi="Symbol" w:hint="default"/>
        <w:sz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nsid w:val="1D5F6DFD"/>
    <w:multiLevelType w:val="hybridMultilevel"/>
    <w:tmpl w:val="A2868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E275AFA"/>
    <w:multiLevelType w:val="hybridMultilevel"/>
    <w:tmpl w:val="F104E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E9D6BEF"/>
    <w:multiLevelType w:val="hybridMultilevel"/>
    <w:tmpl w:val="D7FEDB62"/>
    <w:lvl w:ilvl="0" w:tplc="85AC7A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52677D"/>
    <w:multiLevelType w:val="hybridMultilevel"/>
    <w:tmpl w:val="F9003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9">
    <w:nsid w:val="310259DF"/>
    <w:multiLevelType w:val="hybridMultilevel"/>
    <w:tmpl w:val="180C05EA"/>
    <w:lvl w:ilvl="0" w:tplc="1B3296E0">
      <w:start w:val="1"/>
      <w:numFmt w:val="bullet"/>
      <w:lvlText w:val="-"/>
      <w:lvlJc w:val="left"/>
      <w:pPr>
        <w:tabs>
          <w:tab w:val="num" w:pos="720"/>
        </w:tabs>
        <w:ind w:left="720" w:hanging="360"/>
      </w:pPr>
      <w:rPr>
        <w:rFonts w:ascii="Times" w:hAnsi="Times" w:hint="default"/>
      </w:rPr>
    </w:lvl>
    <w:lvl w:ilvl="1" w:tplc="8ACAEBBE" w:tentative="1">
      <w:start w:val="1"/>
      <w:numFmt w:val="bullet"/>
      <w:lvlText w:val="-"/>
      <w:lvlJc w:val="left"/>
      <w:pPr>
        <w:tabs>
          <w:tab w:val="num" w:pos="1440"/>
        </w:tabs>
        <w:ind w:left="1440" w:hanging="360"/>
      </w:pPr>
      <w:rPr>
        <w:rFonts w:ascii="Times" w:hAnsi="Times" w:hint="default"/>
      </w:rPr>
    </w:lvl>
    <w:lvl w:ilvl="2" w:tplc="904C544C" w:tentative="1">
      <w:start w:val="1"/>
      <w:numFmt w:val="bullet"/>
      <w:lvlText w:val="-"/>
      <w:lvlJc w:val="left"/>
      <w:pPr>
        <w:tabs>
          <w:tab w:val="num" w:pos="2160"/>
        </w:tabs>
        <w:ind w:left="2160" w:hanging="360"/>
      </w:pPr>
      <w:rPr>
        <w:rFonts w:ascii="Times" w:hAnsi="Times" w:hint="default"/>
      </w:rPr>
    </w:lvl>
    <w:lvl w:ilvl="3" w:tplc="81F4F868" w:tentative="1">
      <w:start w:val="1"/>
      <w:numFmt w:val="bullet"/>
      <w:lvlText w:val="-"/>
      <w:lvlJc w:val="left"/>
      <w:pPr>
        <w:tabs>
          <w:tab w:val="num" w:pos="2880"/>
        </w:tabs>
        <w:ind w:left="2880" w:hanging="360"/>
      </w:pPr>
      <w:rPr>
        <w:rFonts w:ascii="Times" w:hAnsi="Times" w:hint="default"/>
      </w:rPr>
    </w:lvl>
    <w:lvl w:ilvl="4" w:tplc="5DA8536E" w:tentative="1">
      <w:start w:val="1"/>
      <w:numFmt w:val="bullet"/>
      <w:lvlText w:val="-"/>
      <w:lvlJc w:val="left"/>
      <w:pPr>
        <w:tabs>
          <w:tab w:val="num" w:pos="3600"/>
        </w:tabs>
        <w:ind w:left="3600" w:hanging="360"/>
      </w:pPr>
      <w:rPr>
        <w:rFonts w:ascii="Times" w:hAnsi="Times" w:hint="default"/>
      </w:rPr>
    </w:lvl>
    <w:lvl w:ilvl="5" w:tplc="008EC7F0" w:tentative="1">
      <w:start w:val="1"/>
      <w:numFmt w:val="bullet"/>
      <w:lvlText w:val="-"/>
      <w:lvlJc w:val="left"/>
      <w:pPr>
        <w:tabs>
          <w:tab w:val="num" w:pos="4320"/>
        </w:tabs>
        <w:ind w:left="4320" w:hanging="360"/>
      </w:pPr>
      <w:rPr>
        <w:rFonts w:ascii="Times" w:hAnsi="Times" w:hint="default"/>
      </w:rPr>
    </w:lvl>
    <w:lvl w:ilvl="6" w:tplc="F7B80182" w:tentative="1">
      <w:start w:val="1"/>
      <w:numFmt w:val="bullet"/>
      <w:lvlText w:val="-"/>
      <w:lvlJc w:val="left"/>
      <w:pPr>
        <w:tabs>
          <w:tab w:val="num" w:pos="5040"/>
        </w:tabs>
        <w:ind w:left="5040" w:hanging="360"/>
      </w:pPr>
      <w:rPr>
        <w:rFonts w:ascii="Times" w:hAnsi="Times" w:hint="default"/>
      </w:rPr>
    </w:lvl>
    <w:lvl w:ilvl="7" w:tplc="35708F4E" w:tentative="1">
      <w:start w:val="1"/>
      <w:numFmt w:val="bullet"/>
      <w:lvlText w:val="-"/>
      <w:lvlJc w:val="left"/>
      <w:pPr>
        <w:tabs>
          <w:tab w:val="num" w:pos="5760"/>
        </w:tabs>
        <w:ind w:left="5760" w:hanging="360"/>
      </w:pPr>
      <w:rPr>
        <w:rFonts w:ascii="Times" w:hAnsi="Times" w:hint="default"/>
      </w:rPr>
    </w:lvl>
    <w:lvl w:ilvl="8" w:tplc="4BDC9590" w:tentative="1">
      <w:start w:val="1"/>
      <w:numFmt w:val="bullet"/>
      <w:lvlText w:val="-"/>
      <w:lvlJc w:val="left"/>
      <w:pPr>
        <w:tabs>
          <w:tab w:val="num" w:pos="6480"/>
        </w:tabs>
        <w:ind w:left="6480" w:hanging="360"/>
      </w:pPr>
      <w:rPr>
        <w:rFonts w:ascii="Times" w:hAnsi="Times" w:hint="default"/>
      </w:rPr>
    </w:lvl>
  </w:abstractNum>
  <w:abstractNum w:abstractNumId="10">
    <w:nsid w:val="33352FA9"/>
    <w:multiLevelType w:val="hybridMultilevel"/>
    <w:tmpl w:val="F9C0EAB6"/>
    <w:lvl w:ilvl="0" w:tplc="C7EAF36C">
      <w:start w:val="1"/>
      <w:numFmt w:val="bullet"/>
      <w:pStyle w:val="ListBullet"/>
      <w:lvlText w:val=""/>
      <w:lvlJc w:val="left"/>
      <w:pPr>
        <w:ind w:left="360" w:hanging="360"/>
      </w:pPr>
      <w:rPr>
        <w:rFonts w:ascii="Symbol" w:hAnsi="Symbol" w:hint="default"/>
        <w:sz w:val="22"/>
      </w:rPr>
    </w:lvl>
    <w:lvl w:ilvl="1" w:tplc="0C090003" w:tentative="1">
      <w:start w:val="1"/>
      <w:numFmt w:val="bullet"/>
      <w:lvlText w:val="o"/>
      <w:lvlJc w:val="left"/>
      <w:pPr>
        <w:tabs>
          <w:tab w:val="num" w:pos="723"/>
        </w:tabs>
        <w:ind w:left="723" w:hanging="360"/>
      </w:pPr>
      <w:rPr>
        <w:rFonts w:ascii="Courier New" w:hAnsi="Courier New" w:cs="Courier New"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11">
    <w:nsid w:val="33B618D8"/>
    <w:multiLevelType w:val="hybridMultilevel"/>
    <w:tmpl w:val="AC52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764433"/>
    <w:multiLevelType w:val="hybridMultilevel"/>
    <w:tmpl w:val="2AEE701E"/>
    <w:lvl w:ilvl="0" w:tplc="74F6A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AA2E58"/>
    <w:multiLevelType w:val="hybridMultilevel"/>
    <w:tmpl w:val="59B4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4B84586"/>
    <w:multiLevelType w:val="hybridMultilevel"/>
    <w:tmpl w:val="CE8A42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8B5413F"/>
    <w:multiLevelType w:val="multilevel"/>
    <w:tmpl w:val="A2F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0B3EC2"/>
    <w:multiLevelType w:val="hybridMultilevel"/>
    <w:tmpl w:val="27C875BC"/>
    <w:lvl w:ilvl="0" w:tplc="CA7A2F2C">
      <w:start w:val="1"/>
      <w:numFmt w:val="decimal"/>
      <w:lvlText w:val="%1."/>
      <w:lvlJc w:val="left"/>
      <w:pPr>
        <w:ind w:left="1080" w:hanging="360"/>
      </w:pPr>
      <w:rPr>
        <w:rFonts w:eastAsiaTheme="minorEastAsia" w:hint="default"/>
        <w:color w:val="000000" w:themeColor="text1"/>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3F4461BB"/>
    <w:multiLevelType w:val="multilevel"/>
    <w:tmpl w:val="1FC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C32920"/>
    <w:multiLevelType w:val="multilevel"/>
    <w:tmpl w:val="5AEEB1E0"/>
    <w:lvl w:ilvl="0">
      <w:start w:val="1"/>
      <w:numFmt w:val="lowerLetter"/>
      <w:pStyle w:val="ListNumber"/>
      <w:lvlText w:val="%1)"/>
      <w:lvlJc w:val="left"/>
      <w:pPr>
        <w:tabs>
          <w:tab w:val="num" w:pos="566"/>
        </w:tabs>
        <w:ind w:left="566" w:hanging="567"/>
      </w:pPr>
      <w:rPr>
        <w:rFonts w:hint="default"/>
      </w:rPr>
    </w:lvl>
    <w:lvl w:ilvl="1">
      <w:start w:val="1"/>
      <w:numFmt w:val="lowerLetter"/>
      <w:pStyle w:val="List2"/>
      <w:lvlText w:val="(%2)"/>
      <w:lvlJc w:val="left"/>
      <w:pPr>
        <w:tabs>
          <w:tab w:val="num" w:pos="1133"/>
        </w:tabs>
        <w:ind w:left="1133" w:hanging="567"/>
      </w:pPr>
      <w:rPr>
        <w:rFonts w:hint="default"/>
      </w:rPr>
    </w:lvl>
    <w:lvl w:ilvl="2">
      <w:start w:val="1"/>
      <w:numFmt w:val="lowerRoman"/>
      <w:pStyle w:val="ListNumber3"/>
      <w:lvlText w:val="(%3)"/>
      <w:lvlJc w:val="left"/>
      <w:pPr>
        <w:tabs>
          <w:tab w:val="num" w:pos="1700"/>
        </w:tabs>
        <w:ind w:left="1701" w:hanging="568"/>
      </w:pPr>
      <w:rPr>
        <w:rFonts w:hint="default"/>
      </w:rPr>
    </w:lvl>
    <w:lvl w:ilvl="3">
      <w:start w:val="1"/>
      <w:numFmt w:val="none"/>
      <w:lvlText w:val="(%4)"/>
      <w:lvlJc w:val="left"/>
      <w:pPr>
        <w:tabs>
          <w:tab w:val="num" w:pos="1439"/>
        </w:tabs>
        <w:ind w:left="1439" w:hanging="360"/>
      </w:pPr>
      <w:rPr>
        <w:rFonts w:hint="default"/>
      </w:rPr>
    </w:lvl>
    <w:lvl w:ilvl="4">
      <w:start w:val="1"/>
      <w:numFmt w:val="none"/>
      <w:lvlText w:val="(%5)"/>
      <w:lvlJc w:val="left"/>
      <w:pPr>
        <w:tabs>
          <w:tab w:val="num" w:pos="1799"/>
        </w:tabs>
        <w:ind w:left="1799" w:hanging="360"/>
      </w:pPr>
      <w:rPr>
        <w:rFonts w:hint="default"/>
      </w:rPr>
    </w:lvl>
    <w:lvl w:ilvl="5">
      <w:start w:val="1"/>
      <w:numFmt w:val="none"/>
      <w:lvlText w:val="(%6)"/>
      <w:lvlJc w:val="left"/>
      <w:pPr>
        <w:tabs>
          <w:tab w:val="num" w:pos="2159"/>
        </w:tabs>
        <w:ind w:left="2159" w:hanging="360"/>
      </w:pPr>
      <w:rPr>
        <w:rFonts w:hint="default"/>
      </w:rPr>
    </w:lvl>
    <w:lvl w:ilvl="6">
      <w:start w:val="1"/>
      <w:numFmt w:val="none"/>
      <w:lvlText w:val="%7."/>
      <w:lvlJc w:val="left"/>
      <w:pPr>
        <w:tabs>
          <w:tab w:val="num" w:pos="2519"/>
        </w:tabs>
        <w:ind w:left="2519" w:hanging="360"/>
      </w:pPr>
      <w:rPr>
        <w:rFonts w:hint="default"/>
      </w:rPr>
    </w:lvl>
    <w:lvl w:ilvl="7">
      <w:start w:val="1"/>
      <w:numFmt w:val="none"/>
      <w:lvlText w:val="%8."/>
      <w:lvlJc w:val="left"/>
      <w:pPr>
        <w:tabs>
          <w:tab w:val="num" w:pos="2879"/>
        </w:tabs>
        <w:ind w:left="2879" w:hanging="360"/>
      </w:pPr>
      <w:rPr>
        <w:rFonts w:hint="default"/>
      </w:rPr>
    </w:lvl>
    <w:lvl w:ilvl="8">
      <w:start w:val="1"/>
      <w:numFmt w:val="none"/>
      <w:lvlText w:val="%9."/>
      <w:lvlJc w:val="left"/>
      <w:pPr>
        <w:tabs>
          <w:tab w:val="num" w:pos="3239"/>
        </w:tabs>
        <w:ind w:left="3239" w:hanging="360"/>
      </w:pPr>
      <w:rPr>
        <w:rFonts w:hint="default"/>
      </w:rPr>
    </w:lvl>
  </w:abstractNum>
  <w:abstractNum w:abstractNumId="19">
    <w:nsid w:val="446061A8"/>
    <w:multiLevelType w:val="hybridMultilevel"/>
    <w:tmpl w:val="5FA21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9C01B22"/>
    <w:multiLevelType w:val="hybridMultilevel"/>
    <w:tmpl w:val="883CFB06"/>
    <w:lvl w:ilvl="0" w:tplc="D046B55A">
      <w:start w:val="1"/>
      <w:numFmt w:val="bullet"/>
      <w:pStyle w:val="ListBullet2"/>
      <w:lvlText w:val=""/>
      <w:lvlJc w:val="left"/>
      <w:pPr>
        <w:ind w:left="717" w:hanging="360"/>
      </w:pPr>
      <w:rPr>
        <w:rFonts w:ascii="Symbol" w:hAnsi="Symbol" w:hint="default"/>
        <w:sz w:val="22"/>
      </w:rPr>
    </w:lvl>
    <w:lvl w:ilvl="1" w:tplc="BF56E6CC" w:tentative="1">
      <w:start w:val="1"/>
      <w:numFmt w:val="bullet"/>
      <w:lvlText w:val="o"/>
      <w:lvlJc w:val="left"/>
      <w:pPr>
        <w:tabs>
          <w:tab w:val="num" w:pos="1800"/>
        </w:tabs>
        <w:ind w:left="1800" w:hanging="360"/>
      </w:pPr>
      <w:rPr>
        <w:rFonts w:ascii="Courier New" w:hAnsi="Courier New" w:cs="Courier New" w:hint="default"/>
      </w:rPr>
    </w:lvl>
    <w:lvl w:ilvl="2" w:tplc="D83054AA" w:tentative="1">
      <w:start w:val="1"/>
      <w:numFmt w:val="bullet"/>
      <w:lvlText w:val=""/>
      <w:lvlJc w:val="left"/>
      <w:pPr>
        <w:tabs>
          <w:tab w:val="num" w:pos="2520"/>
        </w:tabs>
        <w:ind w:left="2520" w:hanging="360"/>
      </w:pPr>
      <w:rPr>
        <w:rFonts w:ascii="Wingdings" w:hAnsi="Wingdings" w:hint="default"/>
      </w:rPr>
    </w:lvl>
    <w:lvl w:ilvl="3" w:tplc="57D6172A" w:tentative="1">
      <w:start w:val="1"/>
      <w:numFmt w:val="bullet"/>
      <w:lvlText w:val=""/>
      <w:lvlJc w:val="left"/>
      <w:pPr>
        <w:tabs>
          <w:tab w:val="num" w:pos="3240"/>
        </w:tabs>
        <w:ind w:left="3240" w:hanging="360"/>
      </w:pPr>
      <w:rPr>
        <w:rFonts w:ascii="Symbol" w:hAnsi="Symbol" w:hint="default"/>
      </w:rPr>
    </w:lvl>
    <w:lvl w:ilvl="4" w:tplc="142AEB16" w:tentative="1">
      <w:start w:val="1"/>
      <w:numFmt w:val="bullet"/>
      <w:lvlText w:val="o"/>
      <w:lvlJc w:val="left"/>
      <w:pPr>
        <w:tabs>
          <w:tab w:val="num" w:pos="3960"/>
        </w:tabs>
        <w:ind w:left="3960" w:hanging="360"/>
      </w:pPr>
      <w:rPr>
        <w:rFonts w:ascii="Courier New" w:hAnsi="Courier New" w:cs="Courier New" w:hint="default"/>
      </w:rPr>
    </w:lvl>
    <w:lvl w:ilvl="5" w:tplc="3F6C7156" w:tentative="1">
      <w:start w:val="1"/>
      <w:numFmt w:val="bullet"/>
      <w:lvlText w:val=""/>
      <w:lvlJc w:val="left"/>
      <w:pPr>
        <w:tabs>
          <w:tab w:val="num" w:pos="4680"/>
        </w:tabs>
        <w:ind w:left="4680" w:hanging="360"/>
      </w:pPr>
      <w:rPr>
        <w:rFonts w:ascii="Wingdings" w:hAnsi="Wingdings" w:hint="default"/>
      </w:rPr>
    </w:lvl>
    <w:lvl w:ilvl="6" w:tplc="74D81E1A" w:tentative="1">
      <w:start w:val="1"/>
      <w:numFmt w:val="bullet"/>
      <w:lvlText w:val=""/>
      <w:lvlJc w:val="left"/>
      <w:pPr>
        <w:tabs>
          <w:tab w:val="num" w:pos="5400"/>
        </w:tabs>
        <w:ind w:left="5400" w:hanging="360"/>
      </w:pPr>
      <w:rPr>
        <w:rFonts w:ascii="Symbol" w:hAnsi="Symbol" w:hint="default"/>
      </w:rPr>
    </w:lvl>
    <w:lvl w:ilvl="7" w:tplc="33A239BA" w:tentative="1">
      <w:start w:val="1"/>
      <w:numFmt w:val="bullet"/>
      <w:lvlText w:val="o"/>
      <w:lvlJc w:val="left"/>
      <w:pPr>
        <w:tabs>
          <w:tab w:val="num" w:pos="6120"/>
        </w:tabs>
        <w:ind w:left="6120" w:hanging="360"/>
      </w:pPr>
      <w:rPr>
        <w:rFonts w:ascii="Courier New" w:hAnsi="Courier New" w:cs="Courier New" w:hint="default"/>
      </w:rPr>
    </w:lvl>
    <w:lvl w:ilvl="8" w:tplc="116A91FE" w:tentative="1">
      <w:start w:val="1"/>
      <w:numFmt w:val="bullet"/>
      <w:lvlText w:val=""/>
      <w:lvlJc w:val="left"/>
      <w:pPr>
        <w:tabs>
          <w:tab w:val="num" w:pos="6840"/>
        </w:tabs>
        <w:ind w:left="6840" w:hanging="360"/>
      </w:pPr>
      <w:rPr>
        <w:rFonts w:ascii="Wingdings" w:hAnsi="Wingdings" w:hint="default"/>
      </w:rPr>
    </w:lvl>
  </w:abstractNum>
  <w:abstractNum w:abstractNumId="21">
    <w:nsid w:val="4A0A3024"/>
    <w:multiLevelType w:val="hybridMultilevel"/>
    <w:tmpl w:val="0032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pPr>
      <w:rPr>
        <w:rFonts w:cs="Times New Roman" w:hint="default"/>
      </w:rPr>
    </w:lvl>
    <w:lvl w:ilvl="3">
      <w:start w:val="1"/>
      <w:numFmt w:val="none"/>
      <w:lvlText w:val="%4"/>
      <w:lvlJc w:val="left"/>
      <w:pPr>
        <w:ind w:left="680"/>
      </w:pPr>
      <w:rPr>
        <w:rFonts w:cs="Times New Roman" w:hint="default"/>
      </w:rPr>
    </w:lvl>
    <w:lvl w:ilvl="4">
      <w:start w:val="1"/>
      <w:numFmt w:val="none"/>
      <w:lvlText w:val="%5"/>
      <w:lvlJc w:val="left"/>
      <w:pPr>
        <w:ind w:left="680"/>
      </w:pPr>
      <w:rPr>
        <w:rFonts w:cs="Times New Roman" w:hint="default"/>
      </w:rPr>
    </w:lvl>
    <w:lvl w:ilvl="5">
      <w:start w:val="1"/>
      <w:numFmt w:val="none"/>
      <w:lvlText w:val="%6"/>
      <w:lvlJc w:val="right"/>
      <w:pPr>
        <w:ind w:left="680"/>
      </w:pPr>
      <w:rPr>
        <w:rFonts w:cs="Times New Roman" w:hint="default"/>
      </w:rPr>
    </w:lvl>
    <w:lvl w:ilvl="6">
      <w:start w:val="1"/>
      <w:numFmt w:val="none"/>
      <w:lvlText w:val="%7"/>
      <w:lvlJc w:val="left"/>
      <w:pPr>
        <w:ind w:left="680"/>
      </w:pPr>
      <w:rPr>
        <w:rFonts w:cs="Times New Roman" w:hint="default"/>
      </w:rPr>
    </w:lvl>
    <w:lvl w:ilvl="7">
      <w:start w:val="1"/>
      <w:numFmt w:val="none"/>
      <w:lvlText w:val="%8"/>
      <w:lvlJc w:val="left"/>
      <w:pPr>
        <w:ind w:left="680"/>
      </w:pPr>
      <w:rPr>
        <w:rFonts w:cs="Times New Roman" w:hint="default"/>
      </w:rPr>
    </w:lvl>
    <w:lvl w:ilvl="8">
      <w:start w:val="1"/>
      <w:numFmt w:val="none"/>
      <w:lvlText w:val="%9"/>
      <w:lvlJc w:val="right"/>
      <w:pPr>
        <w:ind w:left="680"/>
      </w:pPr>
      <w:rPr>
        <w:rFonts w:cs="Times New Roman" w:hint="default"/>
      </w:rPr>
    </w:lvl>
  </w:abstractNum>
  <w:abstractNum w:abstractNumId="23">
    <w:nsid w:val="4FD44A31"/>
    <w:multiLevelType w:val="hybridMultilevel"/>
    <w:tmpl w:val="E360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6E00B55"/>
    <w:multiLevelType w:val="hybridMultilevel"/>
    <w:tmpl w:val="D6480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7495D99"/>
    <w:multiLevelType w:val="hybridMultilevel"/>
    <w:tmpl w:val="3EFE1114"/>
    <w:lvl w:ilvl="0" w:tplc="85DA8596">
      <w:start w:val="1"/>
      <w:numFmt w:val="lowerLetter"/>
      <w:lvlText w:val="%1)"/>
      <w:lvlJc w:val="left"/>
      <w:pPr>
        <w:ind w:left="2292" w:hanging="360"/>
      </w:pPr>
      <w:rPr>
        <w:rFonts w:hint="default"/>
      </w:rPr>
    </w:lvl>
    <w:lvl w:ilvl="1" w:tplc="04100019" w:tentative="1">
      <w:start w:val="1"/>
      <w:numFmt w:val="lowerLetter"/>
      <w:lvlText w:val="%2."/>
      <w:lvlJc w:val="left"/>
      <w:pPr>
        <w:ind w:left="3012" w:hanging="360"/>
      </w:pPr>
    </w:lvl>
    <w:lvl w:ilvl="2" w:tplc="0410001B" w:tentative="1">
      <w:start w:val="1"/>
      <w:numFmt w:val="lowerRoman"/>
      <w:lvlText w:val="%3."/>
      <w:lvlJc w:val="right"/>
      <w:pPr>
        <w:ind w:left="3732" w:hanging="180"/>
      </w:pPr>
    </w:lvl>
    <w:lvl w:ilvl="3" w:tplc="0410000F" w:tentative="1">
      <w:start w:val="1"/>
      <w:numFmt w:val="decimal"/>
      <w:lvlText w:val="%4."/>
      <w:lvlJc w:val="left"/>
      <w:pPr>
        <w:ind w:left="4452" w:hanging="360"/>
      </w:pPr>
    </w:lvl>
    <w:lvl w:ilvl="4" w:tplc="04100019" w:tentative="1">
      <w:start w:val="1"/>
      <w:numFmt w:val="lowerLetter"/>
      <w:lvlText w:val="%5."/>
      <w:lvlJc w:val="left"/>
      <w:pPr>
        <w:ind w:left="5172" w:hanging="360"/>
      </w:pPr>
    </w:lvl>
    <w:lvl w:ilvl="5" w:tplc="0410001B" w:tentative="1">
      <w:start w:val="1"/>
      <w:numFmt w:val="lowerRoman"/>
      <w:lvlText w:val="%6."/>
      <w:lvlJc w:val="right"/>
      <w:pPr>
        <w:ind w:left="5892" w:hanging="180"/>
      </w:pPr>
    </w:lvl>
    <w:lvl w:ilvl="6" w:tplc="0410000F" w:tentative="1">
      <w:start w:val="1"/>
      <w:numFmt w:val="decimal"/>
      <w:lvlText w:val="%7."/>
      <w:lvlJc w:val="left"/>
      <w:pPr>
        <w:ind w:left="6612" w:hanging="360"/>
      </w:pPr>
    </w:lvl>
    <w:lvl w:ilvl="7" w:tplc="04100019" w:tentative="1">
      <w:start w:val="1"/>
      <w:numFmt w:val="lowerLetter"/>
      <w:lvlText w:val="%8."/>
      <w:lvlJc w:val="left"/>
      <w:pPr>
        <w:ind w:left="7332" w:hanging="360"/>
      </w:pPr>
    </w:lvl>
    <w:lvl w:ilvl="8" w:tplc="0410001B" w:tentative="1">
      <w:start w:val="1"/>
      <w:numFmt w:val="lowerRoman"/>
      <w:lvlText w:val="%9."/>
      <w:lvlJc w:val="right"/>
      <w:pPr>
        <w:ind w:left="8052" w:hanging="180"/>
      </w:pPr>
    </w:lvl>
  </w:abstractNum>
  <w:abstractNum w:abstractNumId="26">
    <w:nsid w:val="59CC1EC4"/>
    <w:multiLevelType w:val="hybridMultilevel"/>
    <w:tmpl w:val="0ABC0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A3866A7"/>
    <w:multiLevelType w:val="hybridMultilevel"/>
    <w:tmpl w:val="B98A653E"/>
    <w:lvl w:ilvl="0" w:tplc="6B168670">
      <w:start w:val="1"/>
      <w:numFmt w:val="bullet"/>
      <w:lvlText w:val="-"/>
      <w:lvlJc w:val="left"/>
      <w:pPr>
        <w:tabs>
          <w:tab w:val="num" w:pos="720"/>
        </w:tabs>
        <w:ind w:left="720" w:hanging="360"/>
      </w:pPr>
      <w:rPr>
        <w:rFonts w:ascii="Times New Roman" w:hAnsi="Times New Roman" w:hint="default"/>
      </w:rPr>
    </w:lvl>
    <w:lvl w:ilvl="1" w:tplc="D910E2C6">
      <w:start w:val="1043"/>
      <w:numFmt w:val="bullet"/>
      <w:lvlText w:val="-"/>
      <w:lvlJc w:val="left"/>
      <w:pPr>
        <w:tabs>
          <w:tab w:val="num" w:pos="1440"/>
        </w:tabs>
        <w:ind w:left="1440" w:hanging="360"/>
      </w:pPr>
      <w:rPr>
        <w:rFonts w:ascii="Times New Roman" w:hAnsi="Times New Roman" w:hint="default"/>
      </w:rPr>
    </w:lvl>
    <w:lvl w:ilvl="2" w:tplc="4F58628E" w:tentative="1">
      <w:start w:val="1"/>
      <w:numFmt w:val="bullet"/>
      <w:lvlText w:val="-"/>
      <w:lvlJc w:val="left"/>
      <w:pPr>
        <w:tabs>
          <w:tab w:val="num" w:pos="2160"/>
        </w:tabs>
        <w:ind w:left="2160" w:hanging="360"/>
      </w:pPr>
      <w:rPr>
        <w:rFonts w:ascii="Times New Roman" w:hAnsi="Times New Roman" w:hint="default"/>
      </w:rPr>
    </w:lvl>
    <w:lvl w:ilvl="3" w:tplc="60423506" w:tentative="1">
      <w:start w:val="1"/>
      <w:numFmt w:val="bullet"/>
      <w:lvlText w:val="-"/>
      <w:lvlJc w:val="left"/>
      <w:pPr>
        <w:tabs>
          <w:tab w:val="num" w:pos="2880"/>
        </w:tabs>
        <w:ind w:left="2880" w:hanging="360"/>
      </w:pPr>
      <w:rPr>
        <w:rFonts w:ascii="Times New Roman" w:hAnsi="Times New Roman" w:hint="default"/>
      </w:rPr>
    </w:lvl>
    <w:lvl w:ilvl="4" w:tplc="8E7A6A74" w:tentative="1">
      <w:start w:val="1"/>
      <w:numFmt w:val="bullet"/>
      <w:lvlText w:val="-"/>
      <w:lvlJc w:val="left"/>
      <w:pPr>
        <w:tabs>
          <w:tab w:val="num" w:pos="3600"/>
        </w:tabs>
        <w:ind w:left="3600" w:hanging="360"/>
      </w:pPr>
      <w:rPr>
        <w:rFonts w:ascii="Times New Roman" w:hAnsi="Times New Roman" w:hint="default"/>
      </w:rPr>
    </w:lvl>
    <w:lvl w:ilvl="5" w:tplc="63E26E9C" w:tentative="1">
      <w:start w:val="1"/>
      <w:numFmt w:val="bullet"/>
      <w:lvlText w:val="-"/>
      <w:lvlJc w:val="left"/>
      <w:pPr>
        <w:tabs>
          <w:tab w:val="num" w:pos="4320"/>
        </w:tabs>
        <w:ind w:left="4320" w:hanging="360"/>
      </w:pPr>
      <w:rPr>
        <w:rFonts w:ascii="Times New Roman" w:hAnsi="Times New Roman" w:hint="default"/>
      </w:rPr>
    </w:lvl>
    <w:lvl w:ilvl="6" w:tplc="C7D26A2A" w:tentative="1">
      <w:start w:val="1"/>
      <w:numFmt w:val="bullet"/>
      <w:lvlText w:val="-"/>
      <w:lvlJc w:val="left"/>
      <w:pPr>
        <w:tabs>
          <w:tab w:val="num" w:pos="5040"/>
        </w:tabs>
        <w:ind w:left="5040" w:hanging="360"/>
      </w:pPr>
      <w:rPr>
        <w:rFonts w:ascii="Times New Roman" w:hAnsi="Times New Roman" w:hint="default"/>
      </w:rPr>
    </w:lvl>
    <w:lvl w:ilvl="7" w:tplc="6D18B3E8" w:tentative="1">
      <w:start w:val="1"/>
      <w:numFmt w:val="bullet"/>
      <w:lvlText w:val="-"/>
      <w:lvlJc w:val="left"/>
      <w:pPr>
        <w:tabs>
          <w:tab w:val="num" w:pos="5760"/>
        </w:tabs>
        <w:ind w:left="5760" w:hanging="360"/>
      </w:pPr>
      <w:rPr>
        <w:rFonts w:ascii="Times New Roman" w:hAnsi="Times New Roman" w:hint="default"/>
      </w:rPr>
    </w:lvl>
    <w:lvl w:ilvl="8" w:tplc="6D36310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C1C5B7B"/>
    <w:multiLevelType w:val="hybridMultilevel"/>
    <w:tmpl w:val="201E9D78"/>
    <w:lvl w:ilvl="0" w:tplc="5D223BBC">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C475C81"/>
    <w:multiLevelType w:val="multilevel"/>
    <w:tmpl w:val="00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1">
    <w:nsid w:val="68734736"/>
    <w:multiLevelType w:val="hybridMultilevel"/>
    <w:tmpl w:val="5142B45E"/>
    <w:lvl w:ilvl="0" w:tplc="820EF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3B24039"/>
    <w:multiLevelType w:val="hybridMultilevel"/>
    <w:tmpl w:val="2578E1FA"/>
    <w:lvl w:ilvl="0" w:tplc="0C090001">
      <w:start w:val="1"/>
      <w:numFmt w:val="bullet"/>
      <w:lvlText w:val=""/>
      <w:lvlJc w:val="left"/>
      <w:pPr>
        <w:tabs>
          <w:tab w:val="num" w:pos="360"/>
        </w:tabs>
        <w:ind w:left="360" w:hanging="360"/>
      </w:pPr>
      <w:rPr>
        <w:rFonts w:ascii="Symbol" w:hAnsi="Symbol" w:hint="default"/>
      </w:rPr>
    </w:lvl>
    <w:lvl w:ilvl="1" w:tplc="D910E2C6">
      <w:start w:val="1043"/>
      <w:numFmt w:val="bullet"/>
      <w:lvlText w:val="-"/>
      <w:lvlJc w:val="left"/>
      <w:pPr>
        <w:tabs>
          <w:tab w:val="num" w:pos="1080"/>
        </w:tabs>
        <w:ind w:left="1080" w:hanging="360"/>
      </w:pPr>
      <w:rPr>
        <w:rFonts w:ascii="Times New Roman" w:hAnsi="Times New Roman" w:hint="default"/>
      </w:rPr>
    </w:lvl>
    <w:lvl w:ilvl="2" w:tplc="4F58628E" w:tentative="1">
      <w:start w:val="1"/>
      <w:numFmt w:val="bullet"/>
      <w:lvlText w:val="-"/>
      <w:lvlJc w:val="left"/>
      <w:pPr>
        <w:tabs>
          <w:tab w:val="num" w:pos="1800"/>
        </w:tabs>
        <w:ind w:left="1800" w:hanging="360"/>
      </w:pPr>
      <w:rPr>
        <w:rFonts w:ascii="Times New Roman" w:hAnsi="Times New Roman" w:hint="default"/>
      </w:rPr>
    </w:lvl>
    <w:lvl w:ilvl="3" w:tplc="60423506" w:tentative="1">
      <w:start w:val="1"/>
      <w:numFmt w:val="bullet"/>
      <w:lvlText w:val="-"/>
      <w:lvlJc w:val="left"/>
      <w:pPr>
        <w:tabs>
          <w:tab w:val="num" w:pos="2520"/>
        </w:tabs>
        <w:ind w:left="2520" w:hanging="360"/>
      </w:pPr>
      <w:rPr>
        <w:rFonts w:ascii="Times New Roman" w:hAnsi="Times New Roman" w:hint="default"/>
      </w:rPr>
    </w:lvl>
    <w:lvl w:ilvl="4" w:tplc="8E7A6A74" w:tentative="1">
      <w:start w:val="1"/>
      <w:numFmt w:val="bullet"/>
      <w:lvlText w:val="-"/>
      <w:lvlJc w:val="left"/>
      <w:pPr>
        <w:tabs>
          <w:tab w:val="num" w:pos="3240"/>
        </w:tabs>
        <w:ind w:left="3240" w:hanging="360"/>
      </w:pPr>
      <w:rPr>
        <w:rFonts w:ascii="Times New Roman" w:hAnsi="Times New Roman" w:hint="default"/>
      </w:rPr>
    </w:lvl>
    <w:lvl w:ilvl="5" w:tplc="63E26E9C" w:tentative="1">
      <w:start w:val="1"/>
      <w:numFmt w:val="bullet"/>
      <w:lvlText w:val="-"/>
      <w:lvlJc w:val="left"/>
      <w:pPr>
        <w:tabs>
          <w:tab w:val="num" w:pos="3960"/>
        </w:tabs>
        <w:ind w:left="3960" w:hanging="360"/>
      </w:pPr>
      <w:rPr>
        <w:rFonts w:ascii="Times New Roman" w:hAnsi="Times New Roman" w:hint="default"/>
      </w:rPr>
    </w:lvl>
    <w:lvl w:ilvl="6" w:tplc="C7D26A2A" w:tentative="1">
      <w:start w:val="1"/>
      <w:numFmt w:val="bullet"/>
      <w:lvlText w:val="-"/>
      <w:lvlJc w:val="left"/>
      <w:pPr>
        <w:tabs>
          <w:tab w:val="num" w:pos="4680"/>
        </w:tabs>
        <w:ind w:left="4680" w:hanging="360"/>
      </w:pPr>
      <w:rPr>
        <w:rFonts w:ascii="Times New Roman" w:hAnsi="Times New Roman" w:hint="default"/>
      </w:rPr>
    </w:lvl>
    <w:lvl w:ilvl="7" w:tplc="6D18B3E8" w:tentative="1">
      <w:start w:val="1"/>
      <w:numFmt w:val="bullet"/>
      <w:lvlText w:val="-"/>
      <w:lvlJc w:val="left"/>
      <w:pPr>
        <w:tabs>
          <w:tab w:val="num" w:pos="5400"/>
        </w:tabs>
        <w:ind w:left="5400" w:hanging="360"/>
      </w:pPr>
      <w:rPr>
        <w:rFonts w:ascii="Times New Roman" w:hAnsi="Times New Roman" w:hint="default"/>
      </w:rPr>
    </w:lvl>
    <w:lvl w:ilvl="8" w:tplc="6D36310A" w:tentative="1">
      <w:start w:val="1"/>
      <w:numFmt w:val="bullet"/>
      <w:lvlText w:val="-"/>
      <w:lvlJc w:val="left"/>
      <w:pPr>
        <w:tabs>
          <w:tab w:val="num" w:pos="6120"/>
        </w:tabs>
        <w:ind w:left="6120" w:hanging="360"/>
      </w:pPr>
      <w:rPr>
        <w:rFonts w:ascii="Times New Roman" w:hAnsi="Times New Roman" w:hint="default"/>
      </w:rPr>
    </w:lvl>
  </w:abstractNum>
  <w:abstractNum w:abstractNumId="33">
    <w:nsid w:val="73D33739"/>
    <w:multiLevelType w:val="hybridMultilevel"/>
    <w:tmpl w:val="6D5CD4BC"/>
    <w:lvl w:ilvl="0" w:tplc="8F32FFEE">
      <w:start w:val="1"/>
      <w:numFmt w:val="bullet"/>
      <w:pStyle w:val="acbullet"/>
      <w:lvlText w:val="o"/>
      <w:lvlJc w:val="left"/>
      <w:pPr>
        <w:tabs>
          <w:tab w:val="num" w:pos="360"/>
        </w:tabs>
        <w:ind w:left="360" w:hanging="360"/>
      </w:pPr>
      <w:rPr>
        <w:rFonts w:ascii="Courier New" w:hAnsi="Courier New" w:hint="default"/>
      </w:rPr>
    </w:lvl>
    <w:lvl w:ilvl="1" w:tplc="04C8DD10" w:tentative="1">
      <w:start w:val="1"/>
      <w:numFmt w:val="bullet"/>
      <w:lvlText w:val="o"/>
      <w:lvlJc w:val="left"/>
      <w:pPr>
        <w:tabs>
          <w:tab w:val="num" w:pos="1440"/>
        </w:tabs>
        <w:ind w:left="1440" w:hanging="360"/>
      </w:pPr>
      <w:rPr>
        <w:rFonts w:ascii="Courier New" w:hAnsi="Courier New" w:cs="Courier New" w:hint="default"/>
      </w:rPr>
    </w:lvl>
    <w:lvl w:ilvl="2" w:tplc="71FC6D2A" w:tentative="1">
      <w:start w:val="1"/>
      <w:numFmt w:val="bullet"/>
      <w:lvlText w:val=""/>
      <w:lvlJc w:val="left"/>
      <w:pPr>
        <w:tabs>
          <w:tab w:val="num" w:pos="2160"/>
        </w:tabs>
        <w:ind w:left="2160" w:hanging="360"/>
      </w:pPr>
      <w:rPr>
        <w:rFonts w:ascii="Wingdings" w:hAnsi="Wingdings" w:hint="default"/>
      </w:rPr>
    </w:lvl>
    <w:lvl w:ilvl="3" w:tplc="51E4E902" w:tentative="1">
      <w:start w:val="1"/>
      <w:numFmt w:val="bullet"/>
      <w:lvlText w:val=""/>
      <w:lvlJc w:val="left"/>
      <w:pPr>
        <w:tabs>
          <w:tab w:val="num" w:pos="2880"/>
        </w:tabs>
        <w:ind w:left="2880" w:hanging="360"/>
      </w:pPr>
      <w:rPr>
        <w:rFonts w:ascii="Symbol" w:hAnsi="Symbol" w:hint="default"/>
      </w:rPr>
    </w:lvl>
    <w:lvl w:ilvl="4" w:tplc="AE6044D6" w:tentative="1">
      <w:start w:val="1"/>
      <w:numFmt w:val="bullet"/>
      <w:lvlText w:val="o"/>
      <w:lvlJc w:val="left"/>
      <w:pPr>
        <w:tabs>
          <w:tab w:val="num" w:pos="3600"/>
        </w:tabs>
        <w:ind w:left="3600" w:hanging="360"/>
      </w:pPr>
      <w:rPr>
        <w:rFonts w:ascii="Courier New" w:hAnsi="Courier New" w:cs="Courier New" w:hint="default"/>
      </w:rPr>
    </w:lvl>
    <w:lvl w:ilvl="5" w:tplc="35020D98" w:tentative="1">
      <w:start w:val="1"/>
      <w:numFmt w:val="bullet"/>
      <w:lvlText w:val=""/>
      <w:lvlJc w:val="left"/>
      <w:pPr>
        <w:tabs>
          <w:tab w:val="num" w:pos="4320"/>
        </w:tabs>
        <w:ind w:left="4320" w:hanging="360"/>
      </w:pPr>
      <w:rPr>
        <w:rFonts w:ascii="Wingdings" w:hAnsi="Wingdings" w:hint="default"/>
      </w:rPr>
    </w:lvl>
    <w:lvl w:ilvl="6" w:tplc="DA6C19FA" w:tentative="1">
      <w:start w:val="1"/>
      <w:numFmt w:val="bullet"/>
      <w:lvlText w:val=""/>
      <w:lvlJc w:val="left"/>
      <w:pPr>
        <w:tabs>
          <w:tab w:val="num" w:pos="5040"/>
        </w:tabs>
        <w:ind w:left="5040" w:hanging="360"/>
      </w:pPr>
      <w:rPr>
        <w:rFonts w:ascii="Symbol" w:hAnsi="Symbol" w:hint="default"/>
      </w:rPr>
    </w:lvl>
    <w:lvl w:ilvl="7" w:tplc="D3260C18" w:tentative="1">
      <w:start w:val="1"/>
      <w:numFmt w:val="bullet"/>
      <w:lvlText w:val="o"/>
      <w:lvlJc w:val="left"/>
      <w:pPr>
        <w:tabs>
          <w:tab w:val="num" w:pos="5760"/>
        </w:tabs>
        <w:ind w:left="5760" w:hanging="360"/>
      </w:pPr>
      <w:rPr>
        <w:rFonts w:ascii="Courier New" w:hAnsi="Courier New" w:cs="Courier New" w:hint="default"/>
      </w:rPr>
    </w:lvl>
    <w:lvl w:ilvl="8" w:tplc="75C47296" w:tentative="1">
      <w:start w:val="1"/>
      <w:numFmt w:val="bullet"/>
      <w:lvlText w:val=""/>
      <w:lvlJc w:val="left"/>
      <w:pPr>
        <w:tabs>
          <w:tab w:val="num" w:pos="6480"/>
        </w:tabs>
        <w:ind w:left="6480" w:hanging="360"/>
      </w:pPr>
      <w:rPr>
        <w:rFonts w:ascii="Wingdings" w:hAnsi="Wingdings" w:hint="default"/>
      </w:rPr>
    </w:lvl>
  </w:abstractNum>
  <w:abstractNum w:abstractNumId="34">
    <w:nsid w:val="76631874"/>
    <w:multiLevelType w:val="hybridMultilevel"/>
    <w:tmpl w:val="9712F530"/>
    <w:lvl w:ilvl="0" w:tplc="4D0057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7455522"/>
    <w:multiLevelType w:val="multilevel"/>
    <w:tmpl w:val="F116A234"/>
    <w:lvl w:ilvl="0">
      <w:start w:val="1"/>
      <w:numFmt w:val="bullet"/>
      <w:pStyle w:val="bullet"/>
      <w:lvlText w:val=""/>
      <w:lvlJc w:val="left"/>
      <w:pPr>
        <w:tabs>
          <w:tab w:val="num" w:pos="1134"/>
        </w:tabs>
        <w:ind w:left="1134" w:hanging="567"/>
      </w:pPr>
      <w:rPr>
        <w:rFonts w:ascii="Symbol" w:hAnsi="Symbol" w:hint="default"/>
      </w:rPr>
    </w:lvl>
    <w:lvl w:ilvl="1">
      <w:start w:val="1"/>
      <w:numFmt w:val="bullet"/>
      <w:pStyle w:val="bullet2"/>
      <w:lvlText w:val=""/>
      <w:lvlJc w:val="left"/>
      <w:pPr>
        <w:tabs>
          <w:tab w:val="num" w:pos="1701"/>
        </w:tabs>
        <w:ind w:left="1701" w:hanging="567"/>
      </w:pPr>
      <w:rPr>
        <w:rFonts w:ascii="Symbol" w:hAnsi="Symbol" w:hint="default"/>
      </w:rPr>
    </w:lvl>
    <w:lvl w:ilvl="2">
      <w:start w:val="1"/>
      <w:numFmt w:val="lowerRoman"/>
      <w:lvlText w:val="(%3)"/>
      <w:lvlJc w:val="left"/>
      <w:pPr>
        <w:tabs>
          <w:tab w:val="num" w:pos="2421"/>
        </w:tabs>
        <w:ind w:left="2268" w:hanging="567"/>
      </w:p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36">
    <w:nsid w:val="77C4611B"/>
    <w:multiLevelType w:val="hybridMultilevel"/>
    <w:tmpl w:val="081A34C0"/>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286725"/>
    <w:multiLevelType w:val="hybridMultilevel"/>
    <w:tmpl w:val="8812A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20"/>
  </w:num>
  <w:num w:numId="3">
    <w:abstractNumId w:val="3"/>
  </w:num>
  <w:num w:numId="4">
    <w:abstractNumId w:val="30"/>
  </w:num>
  <w:num w:numId="5">
    <w:abstractNumId w:val="22"/>
  </w:num>
  <w:num w:numId="6">
    <w:abstractNumId w:val="8"/>
  </w:num>
  <w:num w:numId="7">
    <w:abstractNumId w:val="33"/>
  </w:num>
  <w:num w:numId="8">
    <w:abstractNumId w:val="18"/>
  </w:num>
  <w:num w:numId="9">
    <w:abstractNumId w:val="35"/>
  </w:num>
  <w:num w:numId="10">
    <w:abstractNumId w:val="28"/>
  </w:num>
  <w:num w:numId="11">
    <w:abstractNumId w:val="6"/>
  </w:num>
  <w:num w:numId="12">
    <w:abstractNumId w:val="36"/>
  </w:num>
  <w:num w:numId="13">
    <w:abstractNumId w:val="0"/>
  </w:num>
  <w:num w:numId="14">
    <w:abstractNumId w:val="31"/>
  </w:num>
  <w:num w:numId="15">
    <w:abstractNumId w:val="12"/>
  </w:num>
  <w:num w:numId="16">
    <w:abstractNumId w:val="34"/>
  </w:num>
  <w:num w:numId="17">
    <w:abstractNumId w:val="26"/>
  </w:num>
  <w:num w:numId="18">
    <w:abstractNumId w:val="5"/>
  </w:num>
  <w:num w:numId="19">
    <w:abstractNumId w:val="4"/>
  </w:num>
  <w:num w:numId="20">
    <w:abstractNumId w:val="21"/>
  </w:num>
  <w:num w:numId="21">
    <w:abstractNumId w:val="19"/>
  </w:num>
  <w:num w:numId="22">
    <w:abstractNumId w:val="24"/>
  </w:num>
  <w:num w:numId="23">
    <w:abstractNumId w:val="23"/>
  </w:num>
  <w:num w:numId="24">
    <w:abstractNumId w:val="15"/>
  </w:num>
  <w:num w:numId="25">
    <w:abstractNumId w:val="17"/>
  </w:num>
  <w:num w:numId="26">
    <w:abstractNumId w:val="1"/>
  </w:num>
  <w:num w:numId="27">
    <w:abstractNumId w:val="29"/>
  </w:num>
  <w:num w:numId="28">
    <w:abstractNumId w:val="13"/>
  </w:num>
  <w:num w:numId="29">
    <w:abstractNumId w:val="37"/>
  </w:num>
  <w:num w:numId="30">
    <w:abstractNumId w:val="9"/>
  </w:num>
  <w:num w:numId="31">
    <w:abstractNumId w:val="27"/>
  </w:num>
  <w:num w:numId="32">
    <w:abstractNumId w:val="16"/>
  </w:num>
  <w:num w:numId="33">
    <w:abstractNumId w:val="25"/>
  </w:num>
  <w:num w:numId="34">
    <w:abstractNumId w:val="14"/>
  </w:num>
  <w:num w:numId="35">
    <w:abstractNumId w:val="32"/>
  </w:num>
  <w:num w:numId="36">
    <w:abstractNumId w:val="2"/>
  </w:num>
  <w:num w:numId="37">
    <w:abstractNumId w:val="7"/>
  </w:num>
  <w:num w:numId="3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9" fillcolor="silver" strokecolor="#969696">
      <v:fill color="silver"/>
      <v:stroke color="#969696"/>
      <o:colormenu v:ext="edit" fillcolor="none [2732]"/>
    </o:shapedefaults>
    <o:shapelayout v:ext="edit">
      <o:idmap v:ext="edit" data="2"/>
    </o:shapelayout>
  </w:hdrShapeDefaults>
  <w:footnotePr>
    <w:pos w:val="beneathText"/>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10112\D15 182491  Network December 2015.DOCX"/>
  </w:docVars>
  <w:rsids>
    <w:rsidRoot w:val="00C0375F"/>
    <w:rsid w:val="000007E1"/>
    <w:rsid w:val="00000D0C"/>
    <w:rsid w:val="00000EBF"/>
    <w:rsid w:val="00001D8B"/>
    <w:rsid w:val="00003ED1"/>
    <w:rsid w:val="000044D9"/>
    <w:rsid w:val="00005F98"/>
    <w:rsid w:val="000067CD"/>
    <w:rsid w:val="00006DD3"/>
    <w:rsid w:val="00010101"/>
    <w:rsid w:val="0001144A"/>
    <w:rsid w:val="0001236F"/>
    <w:rsid w:val="00012DF3"/>
    <w:rsid w:val="00013AE4"/>
    <w:rsid w:val="00013D18"/>
    <w:rsid w:val="00014774"/>
    <w:rsid w:val="00014809"/>
    <w:rsid w:val="00015987"/>
    <w:rsid w:val="00015C77"/>
    <w:rsid w:val="00016C41"/>
    <w:rsid w:val="0001784E"/>
    <w:rsid w:val="00017EC7"/>
    <w:rsid w:val="00020314"/>
    <w:rsid w:val="00020F76"/>
    <w:rsid w:val="00026150"/>
    <w:rsid w:val="00026241"/>
    <w:rsid w:val="0002641A"/>
    <w:rsid w:val="00026CE8"/>
    <w:rsid w:val="00026FC3"/>
    <w:rsid w:val="00027768"/>
    <w:rsid w:val="00027923"/>
    <w:rsid w:val="00030B9E"/>
    <w:rsid w:val="00030D00"/>
    <w:rsid w:val="00031CCA"/>
    <w:rsid w:val="000321A3"/>
    <w:rsid w:val="00034C0D"/>
    <w:rsid w:val="00034FA5"/>
    <w:rsid w:val="00035F6D"/>
    <w:rsid w:val="000370CC"/>
    <w:rsid w:val="00037EAD"/>
    <w:rsid w:val="00040373"/>
    <w:rsid w:val="00040C45"/>
    <w:rsid w:val="00041D3A"/>
    <w:rsid w:val="00041F95"/>
    <w:rsid w:val="00043B74"/>
    <w:rsid w:val="00043EFD"/>
    <w:rsid w:val="00044308"/>
    <w:rsid w:val="00045EA8"/>
    <w:rsid w:val="000466C3"/>
    <w:rsid w:val="00046758"/>
    <w:rsid w:val="00047874"/>
    <w:rsid w:val="000479A8"/>
    <w:rsid w:val="00051CF0"/>
    <w:rsid w:val="00052161"/>
    <w:rsid w:val="000528DD"/>
    <w:rsid w:val="00054AE1"/>
    <w:rsid w:val="000554AC"/>
    <w:rsid w:val="00055CD6"/>
    <w:rsid w:val="0005627E"/>
    <w:rsid w:val="00057F31"/>
    <w:rsid w:val="00061CAD"/>
    <w:rsid w:val="00062ADC"/>
    <w:rsid w:val="00062E75"/>
    <w:rsid w:val="00067158"/>
    <w:rsid w:val="00070A0D"/>
    <w:rsid w:val="000715A3"/>
    <w:rsid w:val="000732A7"/>
    <w:rsid w:val="000732AD"/>
    <w:rsid w:val="00073A8A"/>
    <w:rsid w:val="00073C0A"/>
    <w:rsid w:val="00073D6D"/>
    <w:rsid w:val="00074516"/>
    <w:rsid w:val="00076FE1"/>
    <w:rsid w:val="00077764"/>
    <w:rsid w:val="00081AC2"/>
    <w:rsid w:val="000860CA"/>
    <w:rsid w:val="000861E2"/>
    <w:rsid w:val="00087AB5"/>
    <w:rsid w:val="00087F18"/>
    <w:rsid w:val="00087FFA"/>
    <w:rsid w:val="000900B5"/>
    <w:rsid w:val="000907B5"/>
    <w:rsid w:val="000907CD"/>
    <w:rsid w:val="00091CDB"/>
    <w:rsid w:val="000920C7"/>
    <w:rsid w:val="00092AF0"/>
    <w:rsid w:val="00092F81"/>
    <w:rsid w:val="000948A0"/>
    <w:rsid w:val="00097481"/>
    <w:rsid w:val="000A2DBB"/>
    <w:rsid w:val="000A34B5"/>
    <w:rsid w:val="000A3FD1"/>
    <w:rsid w:val="000A441A"/>
    <w:rsid w:val="000A49DA"/>
    <w:rsid w:val="000A5E95"/>
    <w:rsid w:val="000A6506"/>
    <w:rsid w:val="000A789F"/>
    <w:rsid w:val="000B1AF3"/>
    <w:rsid w:val="000B1C56"/>
    <w:rsid w:val="000B4180"/>
    <w:rsid w:val="000B4E1B"/>
    <w:rsid w:val="000B5AE6"/>
    <w:rsid w:val="000B5CCB"/>
    <w:rsid w:val="000B64FA"/>
    <w:rsid w:val="000C0FEB"/>
    <w:rsid w:val="000C1882"/>
    <w:rsid w:val="000C2363"/>
    <w:rsid w:val="000C3AFF"/>
    <w:rsid w:val="000C5146"/>
    <w:rsid w:val="000C5962"/>
    <w:rsid w:val="000C7C5E"/>
    <w:rsid w:val="000D0978"/>
    <w:rsid w:val="000D0982"/>
    <w:rsid w:val="000D1ED4"/>
    <w:rsid w:val="000D229F"/>
    <w:rsid w:val="000D37CB"/>
    <w:rsid w:val="000D4573"/>
    <w:rsid w:val="000D48FE"/>
    <w:rsid w:val="000D4F7A"/>
    <w:rsid w:val="000D5E5E"/>
    <w:rsid w:val="000D75D7"/>
    <w:rsid w:val="000D780C"/>
    <w:rsid w:val="000E0077"/>
    <w:rsid w:val="000E0A2C"/>
    <w:rsid w:val="000E0D36"/>
    <w:rsid w:val="000E0FF5"/>
    <w:rsid w:val="000E1B05"/>
    <w:rsid w:val="000E4B66"/>
    <w:rsid w:val="000E53F1"/>
    <w:rsid w:val="000E7DB6"/>
    <w:rsid w:val="000F02BB"/>
    <w:rsid w:val="000F0F86"/>
    <w:rsid w:val="000F16BA"/>
    <w:rsid w:val="000F30AE"/>
    <w:rsid w:val="000F3488"/>
    <w:rsid w:val="000F3C14"/>
    <w:rsid w:val="000F560D"/>
    <w:rsid w:val="000F57C1"/>
    <w:rsid w:val="000F7EC1"/>
    <w:rsid w:val="00101AE7"/>
    <w:rsid w:val="00101BD3"/>
    <w:rsid w:val="001022FD"/>
    <w:rsid w:val="0010295D"/>
    <w:rsid w:val="00102D2C"/>
    <w:rsid w:val="00104688"/>
    <w:rsid w:val="00104F98"/>
    <w:rsid w:val="00105251"/>
    <w:rsid w:val="0010526A"/>
    <w:rsid w:val="00106EAA"/>
    <w:rsid w:val="001126FC"/>
    <w:rsid w:val="001127F7"/>
    <w:rsid w:val="0011484B"/>
    <w:rsid w:val="001160E1"/>
    <w:rsid w:val="001161EF"/>
    <w:rsid w:val="001177F1"/>
    <w:rsid w:val="001211CB"/>
    <w:rsid w:val="00121C18"/>
    <w:rsid w:val="00122446"/>
    <w:rsid w:val="001227B1"/>
    <w:rsid w:val="00123393"/>
    <w:rsid w:val="00124451"/>
    <w:rsid w:val="00124E74"/>
    <w:rsid w:val="00125236"/>
    <w:rsid w:val="0012614D"/>
    <w:rsid w:val="00126EA2"/>
    <w:rsid w:val="00130AB8"/>
    <w:rsid w:val="00131260"/>
    <w:rsid w:val="00133672"/>
    <w:rsid w:val="00133C61"/>
    <w:rsid w:val="001343AB"/>
    <w:rsid w:val="00134E46"/>
    <w:rsid w:val="00134F94"/>
    <w:rsid w:val="001355A4"/>
    <w:rsid w:val="00135FAF"/>
    <w:rsid w:val="001364EE"/>
    <w:rsid w:val="00137936"/>
    <w:rsid w:val="001406EF"/>
    <w:rsid w:val="00140712"/>
    <w:rsid w:val="00143ED6"/>
    <w:rsid w:val="00146AA2"/>
    <w:rsid w:val="001510DF"/>
    <w:rsid w:val="001512B6"/>
    <w:rsid w:val="00151B91"/>
    <w:rsid w:val="00152691"/>
    <w:rsid w:val="0015283D"/>
    <w:rsid w:val="00152B19"/>
    <w:rsid w:val="00153676"/>
    <w:rsid w:val="001538B5"/>
    <w:rsid w:val="00154213"/>
    <w:rsid w:val="001542B9"/>
    <w:rsid w:val="00154AFA"/>
    <w:rsid w:val="00154D54"/>
    <w:rsid w:val="001558F9"/>
    <w:rsid w:val="00156522"/>
    <w:rsid w:val="00156CA1"/>
    <w:rsid w:val="001572BB"/>
    <w:rsid w:val="0015784B"/>
    <w:rsid w:val="001579B8"/>
    <w:rsid w:val="00160D1C"/>
    <w:rsid w:val="00162576"/>
    <w:rsid w:val="00163442"/>
    <w:rsid w:val="00163650"/>
    <w:rsid w:val="00163ECC"/>
    <w:rsid w:val="00164148"/>
    <w:rsid w:val="00164D43"/>
    <w:rsid w:val="00165749"/>
    <w:rsid w:val="00170734"/>
    <w:rsid w:val="0017078A"/>
    <w:rsid w:val="0017225F"/>
    <w:rsid w:val="0017235B"/>
    <w:rsid w:val="00174AAE"/>
    <w:rsid w:val="001768C8"/>
    <w:rsid w:val="001769B5"/>
    <w:rsid w:val="00177C51"/>
    <w:rsid w:val="001805FA"/>
    <w:rsid w:val="00180618"/>
    <w:rsid w:val="0018269B"/>
    <w:rsid w:val="00182DE2"/>
    <w:rsid w:val="00182F84"/>
    <w:rsid w:val="0018494D"/>
    <w:rsid w:val="00184F00"/>
    <w:rsid w:val="0018513A"/>
    <w:rsid w:val="00185508"/>
    <w:rsid w:val="001859C6"/>
    <w:rsid w:val="00185B95"/>
    <w:rsid w:val="00190D16"/>
    <w:rsid w:val="00191E29"/>
    <w:rsid w:val="00194686"/>
    <w:rsid w:val="00195AB5"/>
    <w:rsid w:val="00196FA8"/>
    <w:rsid w:val="0019789C"/>
    <w:rsid w:val="001A09FF"/>
    <w:rsid w:val="001A1FC7"/>
    <w:rsid w:val="001A230E"/>
    <w:rsid w:val="001A278D"/>
    <w:rsid w:val="001A2AA3"/>
    <w:rsid w:val="001A544C"/>
    <w:rsid w:val="001A57CD"/>
    <w:rsid w:val="001A6994"/>
    <w:rsid w:val="001A6D0E"/>
    <w:rsid w:val="001A7142"/>
    <w:rsid w:val="001B394B"/>
    <w:rsid w:val="001B3F73"/>
    <w:rsid w:val="001B46C4"/>
    <w:rsid w:val="001B4840"/>
    <w:rsid w:val="001B4E72"/>
    <w:rsid w:val="001B5D6B"/>
    <w:rsid w:val="001B5E5C"/>
    <w:rsid w:val="001B7498"/>
    <w:rsid w:val="001B78DD"/>
    <w:rsid w:val="001B7FDB"/>
    <w:rsid w:val="001C0797"/>
    <w:rsid w:val="001C1126"/>
    <w:rsid w:val="001C1BAC"/>
    <w:rsid w:val="001C316F"/>
    <w:rsid w:val="001C4555"/>
    <w:rsid w:val="001C4829"/>
    <w:rsid w:val="001C4CA7"/>
    <w:rsid w:val="001C4D9D"/>
    <w:rsid w:val="001C6EE8"/>
    <w:rsid w:val="001C6F10"/>
    <w:rsid w:val="001C74BC"/>
    <w:rsid w:val="001C76E6"/>
    <w:rsid w:val="001D03E7"/>
    <w:rsid w:val="001D0983"/>
    <w:rsid w:val="001D1C3E"/>
    <w:rsid w:val="001D2F77"/>
    <w:rsid w:val="001D3F6A"/>
    <w:rsid w:val="001E089F"/>
    <w:rsid w:val="001E0B88"/>
    <w:rsid w:val="001E21D8"/>
    <w:rsid w:val="001E47D8"/>
    <w:rsid w:val="001E552B"/>
    <w:rsid w:val="001E5E77"/>
    <w:rsid w:val="001E69E8"/>
    <w:rsid w:val="001E7A57"/>
    <w:rsid w:val="001E7FFC"/>
    <w:rsid w:val="001F1CB7"/>
    <w:rsid w:val="001F2987"/>
    <w:rsid w:val="001F3BF0"/>
    <w:rsid w:val="001F4F6A"/>
    <w:rsid w:val="001F538E"/>
    <w:rsid w:val="001F667B"/>
    <w:rsid w:val="001F7037"/>
    <w:rsid w:val="002002C6"/>
    <w:rsid w:val="002014D2"/>
    <w:rsid w:val="00202858"/>
    <w:rsid w:val="00202BAD"/>
    <w:rsid w:val="002035CA"/>
    <w:rsid w:val="002037EF"/>
    <w:rsid w:val="002048E9"/>
    <w:rsid w:val="002064D5"/>
    <w:rsid w:val="002111EA"/>
    <w:rsid w:val="002113C7"/>
    <w:rsid w:val="0021194A"/>
    <w:rsid w:val="00211966"/>
    <w:rsid w:val="00214B3C"/>
    <w:rsid w:val="00215497"/>
    <w:rsid w:val="00216F31"/>
    <w:rsid w:val="00216F5A"/>
    <w:rsid w:val="00217AC5"/>
    <w:rsid w:val="00220CAE"/>
    <w:rsid w:val="00221430"/>
    <w:rsid w:val="00221B7F"/>
    <w:rsid w:val="00222AE3"/>
    <w:rsid w:val="002270E4"/>
    <w:rsid w:val="00227C86"/>
    <w:rsid w:val="0023022A"/>
    <w:rsid w:val="0023159F"/>
    <w:rsid w:val="002327EC"/>
    <w:rsid w:val="00233FD8"/>
    <w:rsid w:val="0023598D"/>
    <w:rsid w:val="002362C5"/>
    <w:rsid w:val="002362E2"/>
    <w:rsid w:val="002404D0"/>
    <w:rsid w:val="00241E21"/>
    <w:rsid w:val="0024274B"/>
    <w:rsid w:val="00242992"/>
    <w:rsid w:val="00243C2E"/>
    <w:rsid w:val="002441D5"/>
    <w:rsid w:val="00245193"/>
    <w:rsid w:val="00247601"/>
    <w:rsid w:val="00247D0D"/>
    <w:rsid w:val="00252440"/>
    <w:rsid w:val="0025245B"/>
    <w:rsid w:val="00252DC7"/>
    <w:rsid w:val="002539EA"/>
    <w:rsid w:val="00254229"/>
    <w:rsid w:val="00255815"/>
    <w:rsid w:val="00255963"/>
    <w:rsid w:val="0025606D"/>
    <w:rsid w:val="00256A6B"/>
    <w:rsid w:val="002577A4"/>
    <w:rsid w:val="00257988"/>
    <w:rsid w:val="00261737"/>
    <w:rsid w:val="00263411"/>
    <w:rsid w:val="002636B4"/>
    <w:rsid w:val="00263BC1"/>
    <w:rsid w:val="00265536"/>
    <w:rsid w:val="002662FF"/>
    <w:rsid w:val="00270132"/>
    <w:rsid w:val="0027026B"/>
    <w:rsid w:val="002709AF"/>
    <w:rsid w:val="002711D2"/>
    <w:rsid w:val="002719E9"/>
    <w:rsid w:val="00272513"/>
    <w:rsid w:val="00275451"/>
    <w:rsid w:val="00275516"/>
    <w:rsid w:val="00276DEA"/>
    <w:rsid w:val="002772B3"/>
    <w:rsid w:val="00277C5F"/>
    <w:rsid w:val="00280607"/>
    <w:rsid w:val="00281107"/>
    <w:rsid w:val="00281C50"/>
    <w:rsid w:val="0028250D"/>
    <w:rsid w:val="00282724"/>
    <w:rsid w:val="00283099"/>
    <w:rsid w:val="00283A29"/>
    <w:rsid w:val="00283BAB"/>
    <w:rsid w:val="0028484E"/>
    <w:rsid w:val="00284AA1"/>
    <w:rsid w:val="00286755"/>
    <w:rsid w:val="00286F80"/>
    <w:rsid w:val="00287B21"/>
    <w:rsid w:val="002906A6"/>
    <w:rsid w:val="00290EC9"/>
    <w:rsid w:val="0029176F"/>
    <w:rsid w:val="002919D3"/>
    <w:rsid w:val="002923FD"/>
    <w:rsid w:val="002929E5"/>
    <w:rsid w:val="00292F50"/>
    <w:rsid w:val="0029399F"/>
    <w:rsid w:val="002952F3"/>
    <w:rsid w:val="00295400"/>
    <w:rsid w:val="00296020"/>
    <w:rsid w:val="00296863"/>
    <w:rsid w:val="002A26D4"/>
    <w:rsid w:val="002A384A"/>
    <w:rsid w:val="002A3D76"/>
    <w:rsid w:val="002A5767"/>
    <w:rsid w:val="002A5F2F"/>
    <w:rsid w:val="002A6054"/>
    <w:rsid w:val="002A606A"/>
    <w:rsid w:val="002A6945"/>
    <w:rsid w:val="002A7F1D"/>
    <w:rsid w:val="002B0FC3"/>
    <w:rsid w:val="002B1A1F"/>
    <w:rsid w:val="002B375F"/>
    <w:rsid w:val="002B39D1"/>
    <w:rsid w:val="002B3A52"/>
    <w:rsid w:val="002B67E2"/>
    <w:rsid w:val="002B6B79"/>
    <w:rsid w:val="002B6DC2"/>
    <w:rsid w:val="002B701E"/>
    <w:rsid w:val="002C166D"/>
    <w:rsid w:val="002C23BD"/>
    <w:rsid w:val="002C3483"/>
    <w:rsid w:val="002C39C2"/>
    <w:rsid w:val="002C42DD"/>
    <w:rsid w:val="002C603C"/>
    <w:rsid w:val="002C6806"/>
    <w:rsid w:val="002C6C03"/>
    <w:rsid w:val="002C78EC"/>
    <w:rsid w:val="002C7F5F"/>
    <w:rsid w:val="002D0ED3"/>
    <w:rsid w:val="002D24C6"/>
    <w:rsid w:val="002D2558"/>
    <w:rsid w:val="002D4715"/>
    <w:rsid w:val="002D5266"/>
    <w:rsid w:val="002D59BC"/>
    <w:rsid w:val="002D6EE9"/>
    <w:rsid w:val="002D7D15"/>
    <w:rsid w:val="002E11A5"/>
    <w:rsid w:val="002E138C"/>
    <w:rsid w:val="002E44ED"/>
    <w:rsid w:val="002E635D"/>
    <w:rsid w:val="002F1462"/>
    <w:rsid w:val="002F21B3"/>
    <w:rsid w:val="002F29BC"/>
    <w:rsid w:val="002F4658"/>
    <w:rsid w:val="002F536B"/>
    <w:rsid w:val="002F5C19"/>
    <w:rsid w:val="002F6097"/>
    <w:rsid w:val="002F65C4"/>
    <w:rsid w:val="002F6617"/>
    <w:rsid w:val="003024F8"/>
    <w:rsid w:val="00302595"/>
    <w:rsid w:val="00302F26"/>
    <w:rsid w:val="00304331"/>
    <w:rsid w:val="00304AE3"/>
    <w:rsid w:val="003072D8"/>
    <w:rsid w:val="00307CD7"/>
    <w:rsid w:val="00310982"/>
    <w:rsid w:val="00310B28"/>
    <w:rsid w:val="003131DD"/>
    <w:rsid w:val="00313824"/>
    <w:rsid w:val="003142E8"/>
    <w:rsid w:val="00314350"/>
    <w:rsid w:val="00314A3D"/>
    <w:rsid w:val="00317290"/>
    <w:rsid w:val="003175E5"/>
    <w:rsid w:val="00317AEE"/>
    <w:rsid w:val="00320382"/>
    <w:rsid w:val="00320E82"/>
    <w:rsid w:val="00321085"/>
    <w:rsid w:val="003215C8"/>
    <w:rsid w:val="00322256"/>
    <w:rsid w:val="0032498D"/>
    <w:rsid w:val="0032505F"/>
    <w:rsid w:val="00327BAA"/>
    <w:rsid w:val="00330B4F"/>
    <w:rsid w:val="00331B8A"/>
    <w:rsid w:val="00332242"/>
    <w:rsid w:val="0033271D"/>
    <w:rsid w:val="00333297"/>
    <w:rsid w:val="0033433B"/>
    <w:rsid w:val="0033733D"/>
    <w:rsid w:val="00340299"/>
    <w:rsid w:val="003408F7"/>
    <w:rsid w:val="00341183"/>
    <w:rsid w:val="00343516"/>
    <w:rsid w:val="0034545F"/>
    <w:rsid w:val="003455B2"/>
    <w:rsid w:val="00345691"/>
    <w:rsid w:val="00345972"/>
    <w:rsid w:val="00347012"/>
    <w:rsid w:val="0034717E"/>
    <w:rsid w:val="00347488"/>
    <w:rsid w:val="00347C19"/>
    <w:rsid w:val="00350084"/>
    <w:rsid w:val="0035109A"/>
    <w:rsid w:val="00351B94"/>
    <w:rsid w:val="00352196"/>
    <w:rsid w:val="00352D84"/>
    <w:rsid w:val="003531DA"/>
    <w:rsid w:val="00353AD4"/>
    <w:rsid w:val="00355A67"/>
    <w:rsid w:val="003560EE"/>
    <w:rsid w:val="003570E4"/>
    <w:rsid w:val="00357575"/>
    <w:rsid w:val="00362613"/>
    <w:rsid w:val="00363CEC"/>
    <w:rsid w:val="003666B1"/>
    <w:rsid w:val="00367031"/>
    <w:rsid w:val="003678A4"/>
    <w:rsid w:val="00367CB2"/>
    <w:rsid w:val="0037043E"/>
    <w:rsid w:val="003716AF"/>
    <w:rsid w:val="00372203"/>
    <w:rsid w:val="00372EA0"/>
    <w:rsid w:val="00373061"/>
    <w:rsid w:val="003758F9"/>
    <w:rsid w:val="00377DF6"/>
    <w:rsid w:val="0038084D"/>
    <w:rsid w:val="003808E0"/>
    <w:rsid w:val="00380D17"/>
    <w:rsid w:val="00380EAB"/>
    <w:rsid w:val="00384903"/>
    <w:rsid w:val="00385187"/>
    <w:rsid w:val="003853DE"/>
    <w:rsid w:val="00386151"/>
    <w:rsid w:val="0038681F"/>
    <w:rsid w:val="00387A3F"/>
    <w:rsid w:val="00390364"/>
    <w:rsid w:val="003925A9"/>
    <w:rsid w:val="00393BCE"/>
    <w:rsid w:val="00393C3D"/>
    <w:rsid w:val="00393DB9"/>
    <w:rsid w:val="00394257"/>
    <w:rsid w:val="003946CA"/>
    <w:rsid w:val="003949E0"/>
    <w:rsid w:val="00394A66"/>
    <w:rsid w:val="00394C4D"/>
    <w:rsid w:val="003951ED"/>
    <w:rsid w:val="00395C3F"/>
    <w:rsid w:val="00397246"/>
    <w:rsid w:val="0039781F"/>
    <w:rsid w:val="003A0966"/>
    <w:rsid w:val="003A0F0B"/>
    <w:rsid w:val="003A206A"/>
    <w:rsid w:val="003A28F5"/>
    <w:rsid w:val="003A36EF"/>
    <w:rsid w:val="003A4F25"/>
    <w:rsid w:val="003A5E71"/>
    <w:rsid w:val="003A6A00"/>
    <w:rsid w:val="003A6C64"/>
    <w:rsid w:val="003A6FED"/>
    <w:rsid w:val="003A754E"/>
    <w:rsid w:val="003B0D7C"/>
    <w:rsid w:val="003B1572"/>
    <w:rsid w:val="003B2437"/>
    <w:rsid w:val="003B4775"/>
    <w:rsid w:val="003B47ED"/>
    <w:rsid w:val="003B7375"/>
    <w:rsid w:val="003B75CB"/>
    <w:rsid w:val="003C03A4"/>
    <w:rsid w:val="003C1097"/>
    <w:rsid w:val="003C37FE"/>
    <w:rsid w:val="003C4036"/>
    <w:rsid w:val="003C5037"/>
    <w:rsid w:val="003C574C"/>
    <w:rsid w:val="003C60E2"/>
    <w:rsid w:val="003C61FC"/>
    <w:rsid w:val="003D0715"/>
    <w:rsid w:val="003D1036"/>
    <w:rsid w:val="003D11C4"/>
    <w:rsid w:val="003D1639"/>
    <w:rsid w:val="003D20AE"/>
    <w:rsid w:val="003D229E"/>
    <w:rsid w:val="003D33C5"/>
    <w:rsid w:val="003D460F"/>
    <w:rsid w:val="003D5115"/>
    <w:rsid w:val="003E043F"/>
    <w:rsid w:val="003E0928"/>
    <w:rsid w:val="003E0DE8"/>
    <w:rsid w:val="003E1376"/>
    <w:rsid w:val="003E1AEF"/>
    <w:rsid w:val="003E297C"/>
    <w:rsid w:val="003E3822"/>
    <w:rsid w:val="003E3EC3"/>
    <w:rsid w:val="003E4284"/>
    <w:rsid w:val="003E43D4"/>
    <w:rsid w:val="003E484B"/>
    <w:rsid w:val="003E4A87"/>
    <w:rsid w:val="003E56DD"/>
    <w:rsid w:val="003E6553"/>
    <w:rsid w:val="003E7B10"/>
    <w:rsid w:val="003E7C17"/>
    <w:rsid w:val="003F04A4"/>
    <w:rsid w:val="003F05F6"/>
    <w:rsid w:val="003F0AA9"/>
    <w:rsid w:val="003F0FFE"/>
    <w:rsid w:val="003F23F6"/>
    <w:rsid w:val="003F4F8C"/>
    <w:rsid w:val="00403A63"/>
    <w:rsid w:val="00403FF3"/>
    <w:rsid w:val="004060E1"/>
    <w:rsid w:val="00406AAC"/>
    <w:rsid w:val="00412091"/>
    <w:rsid w:val="004128BA"/>
    <w:rsid w:val="0041316C"/>
    <w:rsid w:val="00413D7E"/>
    <w:rsid w:val="004140CF"/>
    <w:rsid w:val="00415A3C"/>
    <w:rsid w:val="004212F9"/>
    <w:rsid w:val="00422E5B"/>
    <w:rsid w:val="00424BB4"/>
    <w:rsid w:val="00424DF7"/>
    <w:rsid w:val="00424E60"/>
    <w:rsid w:val="004252DB"/>
    <w:rsid w:val="004252E3"/>
    <w:rsid w:val="00426570"/>
    <w:rsid w:val="0043018C"/>
    <w:rsid w:val="00430815"/>
    <w:rsid w:val="00430A39"/>
    <w:rsid w:val="004328E1"/>
    <w:rsid w:val="00434DFE"/>
    <w:rsid w:val="00435690"/>
    <w:rsid w:val="00435A46"/>
    <w:rsid w:val="00436C6A"/>
    <w:rsid w:val="0043791D"/>
    <w:rsid w:val="00437DBE"/>
    <w:rsid w:val="004403C5"/>
    <w:rsid w:val="004410B5"/>
    <w:rsid w:val="00441674"/>
    <w:rsid w:val="00441D42"/>
    <w:rsid w:val="00442D4E"/>
    <w:rsid w:val="00442F23"/>
    <w:rsid w:val="00443969"/>
    <w:rsid w:val="00445F8C"/>
    <w:rsid w:val="0044659F"/>
    <w:rsid w:val="0044740F"/>
    <w:rsid w:val="00447485"/>
    <w:rsid w:val="00447AC5"/>
    <w:rsid w:val="00451658"/>
    <w:rsid w:val="00451BCE"/>
    <w:rsid w:val="00451DD4"/>
    <w:rsid w:val="00452F7F"/>
    <w:rsid w:val="00455615"/>
    <w:rsid w:val="004562C3"/>
    <w:rsid w:val="004577CA"/>
    <w:rsid w:val="00457CC8"/>
    <w:rsid w:val="00457E2B"/>
    <w:rsid w:val="0046096F"/>
    <w:rsid w:val="00463FA1"/>
    <w:rsid w:val="0046436E"/>
    <w:rsid w:val="00464425"/>
    <w:rsid w:val="00466A2C"/>
    <w:rsid w:val="00467D4E"/>
    <w:rsid w:val="0047062F"/>
    <w:rsid w:val="00470997"/>
    <w:rsid w:val="00470CF8"/>
    <w:rsid w:val="00474853"/>
    <w:rsid w:val="00475472"/>
    <w:rsid w:val="00476C0D"/>
    <w:rsid w:val="004774F7"/>
    <w:rsid w:val="00480629"/>
    <w:rsid w:val="00481E19"/>
    <w:rsid w:val="00483D07"/>
    <w:rsid w:val="00484A55"/>
    <w:rsid w:val="0048677A"/>
    <w:rsid w:val="0048725F"/>
    <w:rsid w:val="00491A03"/>
    <w:rsid w:val="00491B59"/>
    <w:rsid w:val="00492B7F"/>
    <w:rsid w:val="00492CF8"/>
    <w:rsid w:val="0049370A"/>
    <w:rsid w:val="00493855"/>
    <w:rsid w:val="00494C37"/>
    <w:rsid w:val="00494E9E"/>
    <w:rsid w:val="00495458"/>
    <w:rsid w:val="004A07B4"/>
    <w:rsid w:val="004A2918"/>
    <w:rsid w:val="004A3BA9"/>
    <w:rsid w:val="004A4983"/>
    <w:rsid w:val="004B0005"/>
    <w:rsid w:val="004B1A5F"/>
    <w:rsid w:val="004B4247"/>
    <w:rsid w:val="004B4265"/>
    <w:rsid w:val="004B4823"/>
    <w:rsid w:val="004B5239"/>
    <w:rsid w:val="004B5262"/>
    <w:rsid w:val="004B698B"/>
    <w:rsid w:val="004B6DAA"/>
    <w:rsid w:val="004C0900"/>
    <w:rsid w:val="004C12ED"/>
    <w:rsid w:val="004C2013"/>
    <w:rsid w:val="004C20AA"/>
    <w:rsid w:val="004C31A8"/>
    <w:rsid w:val="004C747F"/>
    <w:rsid w:val="004D03AF"/>
    <w:rsid w:val="004D08B3"/>
    <w:rsid w:val="004D1148"/>
    <w:rsid w:val="004D1256"/>
    <w:rsid w:val="004D13A7"/>
    <w:rsid w:val="004D4479"/>
    <w:rsid w:val="004E05FD"/>
    <w:rsid w:val="004E365F"/>
    <w:rsid w:val="004E4C7C"/>
    <w:rsid w:val="004E7310"/>
    <w:rsid w:val="004E76AD"/>
    <w:rsid w:val="004F29CC"/>
    <w:rsid w:val="004F35F9"/>
    <w:rsid w:val="004F3E9D"/>
    <w:rsid w:val="004F40B4"/>
    <w:rsid w:val="004F5E6F"/>
    <w:rsid w:val="004F5FF8"/>
    <w:rsid w:val="004F60CF"/>
    <w:rsid w:val="004F638B"/>
    <w:rsid w:val="004F66E6"/>
    <w:rsid w:val="004F6FA9"/>
    <w:rsid w:val="004F7072"/>
    <w:rsid w:val="0050108E"/>
    <w:rsid w:val="00501CD3"/>
    <w:rsid w:val="005022FB"/>
    <w:rsid w:val="00503D25"/>
    <w:rsid w:val="00507658"/>
    <w:rsid w:val="00510B0A"/>
    <w:rsid w:val="00510C0C"/>
    <w:rsid w:val="005132AE"/>
    <w:rsid w:val="005139BB"/>
    <w:rsid w:val="005140E1"/>
    <w:rsid w:val="005153DC"/>
    <w:rsid w:val="00516172"/>
    <w:rsid w:val="005204E0"/>
    <w:rsid w:val="00520ACD"/>
    <w:rsid w:val="00520B76"/>
    <w:rsid w:val="005237E3"/>
    <w:rsid w:val="005256E3"/>
    <w:rsid w:val="00527AFB"/>
    <w:rsid w:val="00530280"/>
    <w:rsid w:val="005303D6"/>
    <w:rsid w:val="005303D9"/>
    <w:rsid w:val="00530C84"/>
    <w:rsid w:val="00530E93"/>
    <w:rsid w:val="005318FF"/>
    <w:rsid w:val="00532C94"/>
    <w:rsid w:val="0053332C"/>
    <w:rsid w:val="00534815"/>
    <w:rsid w:val="00535037"/>
    <w:rsid w:val="005358BE"/>
    <w:rsid w:val="0053592F"/>
    <w:rsid w:val="00535BBF"/>
    <w:rsid w:val="005379BE"/>
    <w:rsid w:val="00537B02"/>
    <w:rsid w:val="00543249"/>
    <w:rsid w:val="00544386"/>
    <w:rsid w:val="00544B41"/>
    <w:rsid w:val="005457B1"/>
    <w:rsid w:val="00546054"/>
    <w:rsid w:val="005478EB"/>
    <w:rsid w:val="00547EDD"/>
    <w:rsid w:val="00550473"/>
    <w:rsid w:val="005537A8"/>
    <w:rsid w:val="00553C8E"/>
    <w:rsid w:val="0055460F"/>
    <w:rsid w:val="00554C40"/>
    <w:rsid w:val="00556789"/>
    <w:rsid w:val="0055690E"/>
    <w:rsid w:val="00556C67"/>
    <w:rsid w:val="00556CB3"/>
    <w:rsid w:val="00557FD7"/>
    <w:rsid w:val="00560E32"/>
    <w:rsid w:val="00563524"/>
    <w:rsid w:val="00564DD4"/>
    <w:rsid w:val="00565799"/>
    <w:rsid w:val="00571E97"/>
    <w:rsid w:val="00572BFB"/>
    <w:rsid w:val="005744A1"/>
    <w:rsid w:val="00575497"/>
    <w:rsid w:val="00575BD3"/>
    <w:rsid w:val="00576D2A"/>
    <w:rsid w:val="00577FDF"/>
    <w:rsid w:val="005809F7"/>
    <w:rsid w:val="0058105A"/>
    <w:rsid w:val="00582760"/>
    <w:rsid w:val="00582CB3"/>
    <w:rsid w:val="00583358"/>
    <w:rsid w:val="005855EF"/>
    <w:rsid w:val="005865F7"/>
    <w:rsid w:val="00590A49"/>
    <w:rsid w:val="005928FD"/>
    <w:rsid w:val="0059684C"/>
    <w:rsid w:val="0059702D"/>
    <w:rsid w:val="005A0280"/>
    <w:rsid w:val="005A10AC"/>
    <w:rsid w:val="005A23BF"/>
    <w:rsid w:val="005A31F7"/>
    <w:rsid w:val="005A3295"/>
    <w:rsid w:val="005A3895"/>
    <w:rsid w:val="005A3B8D"/>
    <w:rsid w:val="005A55FA"/>
    <w:rsid w:val="005A66D1"/>
    <w:rsid w:val="005A7789"/>
    <w:rsid w:val="005B1109"/>
    <w:rsid w:val="005B1DD7"/>
    <w:rsid w:val="005B229B"/>
    <w:rsid w:val="005B32AC"/>
    <w:rsid w:val="005B3A6B"/>
    <w:rsid w:val="005B43B4"/>
    <w:rsid w:val="005B4CF7"/>
    <w:rsid w:val="005C0A88"/>
    <w:rsid w:val="005C1500"/>
    <w:rsid w:val="005C2649"/>
    <w:rsid w:val="005C3D50"/>
    <w:rsid w:val="005C50E4"/>
    <w:rsid w:val="005C60F1"/>
    <w:rsid w:val="005C7F96"/>
    <w:rsid w:val="005D0EBE"/>
    <w:rsid w:val="005D29E7"/>
    <w:rsid w:val="005D3E3C"/>
    <w:rsid w:val="005D598A"/>
    <w:rsid w:val="005D5E7F"/>
    <w:rsid w:val="005D7A59"/>
    <w:rsid w:val="005D7F13"/>
    <w:rsid w:val="005E074B"/>
    <w:rsid w:val="005E08EF"/>
    <w:rsid w:val="005E17C6"/>
    <w:rsid w:val="005E428D"/>
    <w:rsid w:val="005E5762"/>
    <w:rsid w:val="005E63A0"/>
    <w:rsid w:val="005E666B"/>
    <w:rsid w:val="005F01F8"/>
    <w:rsid w:val="005F031D"/>
    <w:rsid w:val="005F0E36"/>
    <w:rsid w:val="005F0E95"/>
    <w:rsid w:val="005F1EBD"/>
    <w:rsid w:val="005F23E5"/>
    <w:rsid w:val="005F3416"/>
    <w:rsid w:val="005F3C8F"/>
    <w:rsid w:val="005F40BD"/>
    <w:rsid w:val="005F499C"/>
    <w:rsid w:val="005F51F3"/>
    <w:rsid w:val="005F58D0"/>
    <w:rsid w:val="005F6832"/>
    <w:rsid w:val="005F78E6"/>
    <w:rsid w:val="005F7F5C"/>
    <w:rsid w:val="005F7F96"/>
    <w:rsid w:val="00600685"/>
    <w:rsid w:val="00600D35"/>
    <w:rsid w:val="0060129D"/>
    <w:rsid w:val="0060148E"/>
    <w:rsid w:val="006044CE"/>
    <w:rsid w:val="0060643D"/>
    <w:rsid w:val="00606F6E"/>
    <w:rsid w:val="006075B3"/>
    <w:rsid w:val="00610637"/>
    <w:rsid w:val="00610C6C"/>
    <w:rsid w:val="0061456C"/>
    <w:rsid w:val="00615E15"/>
    <w:rsid w:val="00615FFC"/>
    <w:rsid w:val="006163E5"/>
    <w:rsid w:val="006175A2"/>
    <w:rsid w:val="0062053E"/>
    <w:rsid w:val="00620EBB"/>
    <w:rsid w:val="006225C7"/>
    <w:rsid w:val="0062343B"/>
    <w:rsid w:val="00624815"/>
    <w:rsid w:val="0062517C"/>
    <w:rsid w:val="006258FC"/>
    <w:rsid w:val="00625E23"/>
    <w:rsid w:val="00625F36"/>
    <w:rsid w:val="00626B59"/>
    <w:rsid w:val="00627019"/>
    <w:rsid w:val="0062783C"/>
    <w:rsid w:val="00627F65"/>
    <w:rsid w:val="00630F70"/>
    <w:rsid w:val="006318EC"/>
    <w:rsid w:val="00634A09"/>
    <w:rsid w:val="00634A87"/>
    <w:rsid w:val="006350CC"/>
    <w:rsid w:val="006364E9"/>
    <w:rsid w:val="00636BBE"/>
    <w:rsid w:val="006370D8"/>
    <w:rsid w:val="006401C6"/>
    <w:rsid w:val="00640606"/>
    <w:rsid w:val="006409D3"/>
    <w:rsid w:val="006466CD"/>
    <w:rsid w:val="00647EC0"/>
    <w:rsid w:val="0065050B"/>
    <w:rsid w:val="0065082A"/>
    <w:rsid w:val="006521EC"/>
    <w:rsid w:val="00655C99"/>
    <w:rsid w:val="00656DCD"/>
    <w:rsid w:val="00656E1B"/>
    <w:rsid w:val="00657432"/>
    <w:rsid w:val="0065761F"/>
    <w:rsid w:val="006600C0"/>
    <w:rsid w:val="0066083C"/>
    <w:rsid w:val="00662004"/>
    <w:rsid w:val="00665193"/>
    <w:rsid w:val="00670DA8"/>
    <w:rsid w:val="00671311"/>
    <w:rsid w:val="0067160C"/>
    <w:rsid w:val="00671C7B"/>
    <w:rsid w:val="00672291"/>
    <w:rsid w:val="006732E1"/>
    <w:rsid w:val="006734B4"/>
    <w:rsid w:val="00673628"/>
    <w:rsid w:val="00674393"/>
    <w:rsid w:val="00675C0D"/>
    <w:rsid w:val="006760FF"/>
    <w:rsid w:val="00677311"/>
    <w:rsid w:val="00677D68"/>
    <w:rsid w:val="006806C8"/>
    <w:rsid w:val="00680D66"/>
    <w:rsid w:val="006846ED"/>
    <w:rsid w:val="00684838"/>
    <w:rsid w:val="00684D30"/>
    <w:rsid w:val="00684F29"/>
    <w:rsid w:val="0068570F"/>
    <w:rsid w:val="00686D50"/>
    <w:rsid w:val="00687CFA"/>
    <w:rsid w:val="006923E6"/>
    <w:rsid w:val="00693012"/>
    <w:rsid w:val="00693722"/>
    <w:rsid w:val="00693B1F"/>
    <w:rsid w:val="00694058"/>
    <w:rsid w:val="006944F4"/>
    <w:rsid w:val="00694AF9"/>
    <w:rsid w:val="0069517B"/>
    <w:rsid w:val="006953C0"/>
    <w:rsid w:val="00695527"/>
    <w:rsid w:val="0069566D"/>
    <w:rsid w:val="0069583E"/>
    <w:rsid w:val="006973CC"/>
    <w:rsid w:val="00697F6E"/>
    <w:rsid w:val="006A1636"/>
    <w:rsid w:val="006A17D0"/>
    <w:rsid w:val="006A3B4A"/>
    <w:rsid w:val="006A4563"/>
    <w:rsid w:val="006A60B8"/>
    <w:rsid w:val="006A79E4"/>
    <w:rsid w:val="006B0A40"/>
    <w:rsid w:val="006B4BFE"/>
    <w:rsid w:val="006B4E42"/>
    <w:rsid w:val="006B5126"/>
    <w:rsid w:val="006B6FA9"/>
    <w:rsid w:val="006C052F"/>
    <w:rsid w:val="006C2364"/>
    <w:rsid w:val="006C48F4"/>
    <w:rsid w:val="006C53F3"/>
    <w:rsid w:val="006C6759"/>
    <w:rsid w:val="006D1216"/>
    <w:rsid w:val="006D2A80"/>
    <w:rsid w:val="006D4B20"/>
    <w:rsid w:val="006D4CD4"/>
    <w:rsid w:val="006D51D3"/>
    <w:rsid w:val="006D57FD"/>
    <w:rsid w:val="006D75B2"/>
    <w:rsid w:val="006D764C"/>
    <w:rsid w:val="006D7690"/>
    <w:rsid w:val="006D7E86"/>
    <w:rsid w:val="006E114B"/>
    <w:rsid w:val="006E1EBF"/>
    <w:rsid w:val="006E72D6"/>
    <w:rsid w:val="006E7AC9"/>
    <w:rsid w:val="006F04F4"/>
    <w:rsid w:val="006F0C8C"/>
    <w:rsid w:val="006F1C1B"/>
    <w:rsid w:val="006F200D"/>
    <w:rsid w:val="006F50F1"/>
    <w:rsid w:val="006F582D"/>
    <w:rsid w:val="006F5A8E"/>
    <w:rsid w:val="006F742A"/>
    <w:rsid w:val="00700104"/>
    <w:rsid w:val="00700531"/>
    <w:rsid w:val="00701162"/>
    <w:rsid w:val="00701B09"/>
    <w:rsid w:val="00701C5D"/>
    <w:rsid w:val="00702470"/>
    <w:rsid w:val="00702B84"/>
    <w:rsid w:val="00703437"/>
    <w:rsid w:val="0070506E"/>
    <w:rsid w:val="007059D4"/>
    <w:rsid w:val="00705C89"/>
    <w:rsid w:val="00707FE3"/>
    <w:rsid w:val="00714B5E"/>
    <w:rsid w:val="00714BC0"/>
    <w:rsid w:val="00715414"/>
    <w:rsid w:val="0071579B"/>
    <w:rsid w:val="00716FEE"/>
    <w:rsid w:val="00717062"/>
    <w:rsid w:val="00717296"/>
    <w:rsid w:val="00721744"/>
    <w:rsid w:val="00723355"/>
    <w:rsid w:val="00723DCD"/>
    <w:rsid w:val="0072459D"/>
    <w:rsid w:val="00724BB4"/>
    <w:rsid w:val="007253F7"/>
    <w:rsid w:val="007258A4"/>
    <w:rsid w:val="00725CEC"/>
    <w:rsid w:val="007261F0"/>
    <w:rsid w:val="00727205"/>
    <w:rsid w:val="007300B8"/>
    <w:rsid w:val="00730106"/>
    <w:rsid w:val="007343FC"/>
    <w:rsid w:val="0073493E"/>
    <w:rsid w:val="00735455"/>
    <w:rsid w:val="00735A8E"/>
    <w:rsid w:val="00735E39"/>
    <w:rsid w:val="007372C7"/>
    <w:rsid w:val="00737DDB"/>
    <w:rsid w:val="00737E97"/>
    <w:rsid w:val="00740157"/>
    <w:rsid w:val="007404E7"/>
    <w:rsid w:val="00741F91"/>
    <w:rsid w:val="007428EC"/>
    <w:rsid w:val="007439A5"/>
    <w:rsid w:val="00743EDF"/>
    <w:rsid w:val="0074440A"/>
    <w:rsid w:val="00745372"/>
    <w:rsid w:val="00745A5F"/>
    <w:rsid w:val="00746523"/>
    <w:rsid w:val="00752409"/>
    <w:rsid w:val="00753A17"/>
    <w:rsid w:val="00753BF2"/>
    <w:rsid w:val="00753CFC"/>
    <w:rsid w:val="00753F14"/>
    <w:rsid w:val="0075492E"/>
    <w:rsid w:val="00754A51"/>
    <w:rsid w:val="00754D43"/>
    <w:rsid w:val="0075602C"/>
    <w:rsid w:val="00756235"/>
    <w:rsid w:val="00756461"/>
    <w:rsid w:val="007567EB"/>
    <w:rsid w:val="00760729"/>
    <w:rsid w:val="007609F2"/>
    <w:rsid w:val="00760BBE"/>
    <w:rsid w:val="00760BC9"/>
    <w:rsid w:val="00761162"/>
    <w:rsid w:val="00761700"/>
    <w:rsid w:val="0076264D"/>
    <w:rsid w:val="00763108"/>
    <w:rsid w:val="0076604B"/>
    <w:rsid w:val="00772684"/>
    <w:rsid w:val="00775501"/>
    <w:rsid w:val="0078010C"/>
    <w:rsid w:val="007807DD"/>
    <w:rsid w:val="00781F3E"/>
    <w:rsid w:val="00782FFA"/>
    <w:rsid w:val="007838DA"/>
    <w:rsid w:val="00783A92"/>
    <w:rsid w:val="007853E2"/>
    <w:rsid w:val="0078723D"/>
    <w:rsid w:val="00790B5D"/>
    <w:rsid w:val="0079258F"/>
    <w:rsid w:val="00793644"/>
    <w:rsid w:val="007941CC"/>
    <w:rsid w:val="00796650"/>
    <w:rsid w:val="0079768E"/>
    <w:rsid w:val="007A0186"/>
    <w:rsid w:val="007A1988"/>
    <w:rsid w:val="007A3341"/>
    <w:rsid w:val="007A339D"/>
    <w:rsid w:val="007A44DB"/>
    <w:rsid w:val="007A45E8"/>
    <w:rsid w:val="007A52FC"/>
    <w:rsid w:val="007A5AD2"/>
    <w:rsid w:val="007A5F8F"/>
    <w:rsid w:val="007A70CA"/>
    <w:rsid w:val="007B01B7"/>
    <w:rsid w:val="007B02B9"/>
    <w:rsid w:val="007B05F8"/>
    <w:rsid w:val="007B079C"/>
    <w:rsid w:val="007B0D2A"/>
    <w:rsid w:val="007B1D30"/>
    <w:rsid w:val="007B2869"/>
    <w:rsid w:val="007B3615"/>
    <w:rsid w:val="007B455B"/>
    <w:rsid w:val="007B4AED"/>
    <w:rsid w:val="007B5321"/>
    <w:rsid w:val="007B6799"/>
    <w:rsid w:val="007C0555"/>
    <w:rsid w:val="007C09CF"/>
    <w:rsid w:val="007C1102"/>
    <w:rsid w:val="007C11FD"/>
    <w:rsid w:val="007C17A4"/>
    <w:rsid w:val="007C6EBD"/>
    <w:rsid w:val="007C7D25"/>
    <w:rsid w:val="007D16C1"/>
    <w:rsid w:val="007D19E8"/>
    <w:rsid w:val="007D25C7"/>
    <w:rsid w:val="007D2725"/>
    <w:rsid w:val="007D3245"/>
    <w:rsid w:val="007D3527"/>
    <w:rsid w:val="007D5D9B"/>
    <w:rsid w:val="007D6052"/>
    <w:rsid w:val="007D6F26"/>
    <w:rsid w:val="007E1062"/>
    <w:rsid w:val="007E1757"/>
    <w:rsid w:val="007E1BAF"/>
    <w:rsid w:val="007E4013"/>
    <w:rsid w:val="007E4A33"/>
    <w:rsid w:val="007E4F35"/>
    <w:rsid w:val="007E7040"/>
    <w:rsid w:val="007E7C3B"/>
    <w:rsid w:val="007E7D8E"/>
    <w:rsid w:val="007F17C4"/>
    <w:rsid w:val="007F26E9"/>
    <w:rsid w:val="007F344E"/>
    <w:rsid w:val="007F45F0"/>
    <w:rsid w:val="00800FDB"/>
    <w:rsid w:val="0080100F"/>
    <w:rsid w:val="00802462"/>
    <w:rsid w:val="00803808"/>
    <w:rsid w:val="00804A37"/>
    <w:rsid w:val="00804D39"/>
    <w:rsid w:val="00805173"/>
    <w:rsid w:val="0080589C"/>
    <w:rsid w:val="008059E2"/>
    <w:rsid w:val="008061C0"/>
    <w:rsid w:val="008071F8"/>
    <w:rsid w:val="00807815"/>
    <w:rsid w:val="00807DA7"/>
    <w:rsid w:val="008121EE"/>
    <w:rsid w:val="008125CD"/>
    <w:rsid w:val="008130EF"/>
    <w:rsid w:val="00814C52"/>
    <w:rsid w:val="00814E0E"/>
    <w:rsid w:val="00815954"/>
    <w:rsid w:val="00815B16"/>
    <w:rsid w:val="00815F6B"/>
    <w:rsid w:val="00816A93"/>
    <w:rsid w:val="00816D23"/>
    <w:rsid w:val="00817A20"/>
    <w:rsid w:val="00817B06"/>
    <w:rsid w:val="00817E8F"/>
    <w:rsid w:val="008215A0"/>
    <w:rsid w:val="008225FC"/>
    <w:rsid w:val="00822A76"/>
    <w:rsid w:val="00822E1E"/>
    <w:rsid w:val="008230BB"/>
    <w:rsid w:val="008234A1"/>
    <w:rsid w:val="00826179"/>
    <w:rsid w:val="00827BE9"/>
    <w:rsid w:val="00827E27"/>
    <w:rsid w:val="00830171"/>
    <w:rsid w:val="0083259A"/>
    <w:rsid w:val="00832659"/>
    <w:rsid w:val="00832B70"/>
    <w:rsid w:val="00837DB5"/>
    <w:rsid w:val="00840F62"/>
    <w:rsid w:val="0084192B"/>
    <w:rsid w:val="0084202D"/>
    <w:rsid w:val="00842504"/>
    <w:rsid w:val="008427D1"/>
    <w:rsid w:val="008435E6"/>
    <w:rsid w:val="008436CD"/>
    <w:rsid w:val="00843D44"/>
    <w:rsid w:val="00844235"/>
    <w:rsid w:val="0084472E"/>
    <w:rsid w:val="00844909"/>
    <w:rsid w:val="00844F71"/>
    <w:rsid w:val="00846BA4"/>
    <w:rsid w:val="00846C8A"/>
    <w:rsid w:val="00846ED2"/>
    <w:rsid w:val="008471DC"/>
    <w:rsid w:val="0085038E"/>
    <w:rsid w:val="0085113E"/>
    <w:rsid w:val="008519F6"/>
    <w:rsid w:val="00851A04"/>
    <w:rsid w:val="00851D94"/>
    <w:rsid w:val="00852B9D"/>
    <w:rsid w:val="00853734"/>
    <w:rsid w:val="00854A66"/>
    <w:rsid w:val="00855264"/>
    <w:rsid w:val="008554FA"/>
    <w:rsid w:val="00857342"/>
    <w:rsid w:val="0086023A"/>
    <w:rsid w:val="008608DC"/>
    <w:rsid w:val="00860E81"/>
    <w:rsid w:val="00863A46"/>
    <w:rsid w:val="00866035"/>
    <w:rsid w:val="008663CD"/>
    <w:rsid w:val="008703E5"/>
    <w:rsid w:val="008708BE"/>
    <w:rsid w:val="00870B63"/>
    <w:rsid w:val="008735FB"/>
    <w:rsid w:val="00873D0F"/>
    <w:rsid w:val="008747A2"/>
    <w:rsid w:val="00874AE1"/>
    <w:rsid w:val="00875864"/>
    <w:rsid w:val="00875A38"/>
    <w:rsid w:val="00875B1F"/>
    <w:rsid w:val="00877873"/>
    <w:rsid w:val="0087791B"/>
    <w:rsid w:val="00877DC6"/>
    <w:rsid w:val="008835AC"/>
    <w:rsid w:val="00883849"/>
    <w:rsid w:val="008842EC"/>
    <w:rsid w:val="00884FEF"/>
    <w:rsid w:val="00885239"/>
    <w:rsid w:val="00885330"/>
    <w:rsid w:val="00885BE0"/>
    <w:rsid w:val="008876D8"/>
    <w:rsid w:val="0088798E"/>
    <w:rsid w:val="0089238B"/>
    <w:rsid w:val="00894D1F"/>
    <w:rsid w:val="008970F5"/>
    <w:rsid w:val="008A0346"/>
    <w:rsid w:val="008A2D03"/>
    <w:rsid w:val="008A3433"/>
    <w:rsid w:val="008A46CB"/>
    <w:rsid w:val="008B0F90"/>
    <w:rsid w:val="008B0FD1"/>
    <w:rsid w:val="008B3554"/>
    <w:rsid w:val="008B46CA"/>
    <w:rsid w:val="008B4809"/>
    <w:rsid w:val="008B4A87"/>
    <w:rsid w:val="008B69CD"/>
    <w:rsid w:val="008C037F"/>
    <w:rsid w:val="008C0BDD"/>
    <w:rsid w:val="008C0F89"/>
    <w:rsid w:val="008C1680"/>
    <w:rsid w:val="008C4C26"/>
    <w:rsid w:val="008C6E72"/>
    <w:rsid w:val="008D0071"/>
    <w:rsid w:val="008D0394"/>
    <w:rsid w:val="008D1732"/>
    <w:rsid w:val="008D1808"/>
    <w:rsid w:val="008D26D8"/>
    <w:rsid w:val="008D337E"/>
    <w:rsid w:val="008D44A9"/>
    <w:rsid w:val="008D488A"/>
    <w:rsid w:val="008D5C01"/>
    <w:rsid w:val="008D672A"/>
    <w:rsid w:val="008D7187"/>
    <w:rsid w:val="008D78FB"/>
    <w:rsid w:val="008D7CA7"/>
    <w:rsid w:val="008E0185"/>
    <w:rsid w:val="008E0B76"/>
    <w:rsid w:val="008E1054"/>
    <w:rsid w:val="008E1623"/>
    <w:rsid w:val="008E24CD"/>
    <w:rsid w:val="008E5AC8"/>
    <w:rsid w:val="008E6143"/>
    <w:rsid w:val="008E6615"/>
    <w:rsid w:val="008E68AA"/>
    <w:rsid w:val="008E6A81"/>
    <w:rsid w:val="008F1050"/>
    <w:rsid w:val="008F2EDC"/>
    <w:rsid w:val="008F2FD1"/>
    <w:rsid w:val="008F33CF"/>
    <w:rsid w:val="008F352C"/>
    <w:rsid w:val="008F513D"/>
    <w:rsid w:val="008F51BA"/>
    <w:rsid w:val="008F5DA9"/>
    <w:rsid w:val="008F5FFB"/>
    <w:rsid w:val="008F6921"/>
    <w:rsid w:val="008F789A"/>
    <w:rsid w:val="00901178"/>
    <w:rsid w:val="009028FE"/>
    <w:rsid w:val="00903AF9"/>
    <w:rsid w:val="0091041B"/>
    <w:rsid w:val="00910740"/>
    <w:rsid w:val="0091101D"/>
    <w:rsid w:val="00911F27"/>
    <w:rsid w:val="00913A11"/>
    <w:rsid w:val="00917625"/>
    <w:rsid w:val="009215BB"/>
    <w:rsid w:val="00921740"/>
    <w:rsid w:val="0092176C"/>
    <w:rsid w:val="00923F01"/>
    <w:rsid w:val="00926B67"/>
    <w:rsid w:val="00927165"/>
    <w:rsid w:val="00927AF5"/>
    <w:rsid w:val="009309DD"/>
    <w:rsid w:val="00931120"/>
    <w:rsid w:val="00931820"/>
    <w:rsid w:val="00931DDE"/>
    <w:rsid w:val="00932645"/>
    <w:rsid w:val="00933236"/>
    <w:rsid w:val="00933C6E"/>
    <w:rsid w:val="00934994"/>
    <w:rsid w:val="0093526B"/>
    <w:rsid w:val="00935473"/>
    <w:rsid w:val="00942AED"/>
    <w:rsid w:val="0094370E"/>
    <w:rsid w:val="00943782"/>
    <w:rsid w:val="00946D2C"/>
    <w:rsid w:val="009476D8"/>
    <w:rsid w:val="0095029C"/>
    <w:rsid w:val="009538DA"/>
    <w:rsid w:val="0095391F"/>
    <w:rsid w:val="009549DB"/>
    <w:rsid w:val="009555E9"/>
    <w:rsid w:val="009556B3"/>
    <w:rsid w:val="009569EF"/>
    <w:rsid w:val="009576DA"/>
    <w:rsid w:val="00957AF3"/>
    <w:rsid w:val="00962517"/>
    <w:rsid w:val="00962760"/>
    <w:rsid w:val="00965C4C"/>
    <w:rsid w:val="009665A2"/>
    <w:rsid w:val="0096749F"/>
    <w:rsid w:val="00970521"/>
    <w:rsid w:val="009718B2"/>
    <w:rsid w:val="00971930"/>
    <w:rsid w:val="00972DE8"/>
    <w:rsid w:val="0097460C"/>
    <w:rsid w:val="00975D1A"/>
    <w:rsid w:val="0097697C"/>
    <w:rsid w:val="0098087E"/>
    <w:rsid w:val="0098198B"/>
    <w:rsid w:val="00981CEB"/>
    <w:rsid w:val="00981DE4"/>
    <w:rsid w:val="00984668"/>
    <w:rsid w:val="00984E2E"/>
    <w:rsid w:val="00985C01"/>
    <w:rsid w:val="009862AA"/>
    <w:rsid w:val="009864A8"/>
    <w:rsid w:val="00986871"/>
    <w:rsid w:val="00986F15"/>
    <w:rsid w:val="00987EE4"/>
    <w:rsid w:val="009907AF"/>
    <w:rsid w:val="00990BAA"/>
    <w:rsid w:val="00991078"/>
    <w:rsid w:val="0099117E"/>
    <w:rsid w:val="0099434C"/>
    <w:rsid w:val="009943AC"/>
    <w:rsid w:val="00994705"/>
    <w:rsid w:val="009A0644"/>
    <w:rsid w:val="009A2058"/>
    <w:rsid w:val="009A22DF"/>
    <w:rsid w:val="009A24C5"/>
    <w:rsid w:val="009A2855"/>
    <w:rsid w:val="009A4232"/>
    <w:rsid w:val="009A425A"/>
    <w:rsid w:val="009A44DA"/>
    <w:rsid w:val="009A5013"/>
    <w:rsid w:val="009A6E01"/>
    <w:rsid w:val="009A70DA"/>
    <w:rsid w:val="009B0F26"/>
    <w:rsid w:val="009B35E7"/>
    <w:rsid w:val="009B3BEE"/>
    <w:rsid w:val="009B3FE2"/>
    <w:rsid w:val="009B5661"/>
    <w:rsid w:val="009B6211"/>
    <w:rsid w:val="009B723B"/>
    <w:rsid w:val="009C0CF1"/>
    <w:rsid w:val="009C358A"/>
    <w:rsid w:val="009C3A6F"/>
    <w:rsid w:val="009C57CD"/>
    <w:rsid w:val="009C5D74"/>
    <w:rsid w:val="009C5D7E"/>
    <w:rsid w:val="009C66F3"/>
    <w:rsid w:val="009C735D"/>
    <w:rsid w:val="009C7965"/>
    <w:rsid w:val="009D1CFB"/>
    <w:rsid w:val="009D2EE2"/>
    <w:rsid w:val="009D375A"/>
    <w:rsid w:val="009D732E"/>
    <w:rsid w:val="009E0466"/>
    <w:rsid w:val="009E0863"/>
    <w:rsid w:val="009E0C89"/>
    <w:rsid w:val="009E0EDF"/>
    <w:rsid w:val="009E35B2"/>
    <w:rsid w:val="009E47E8"/>
    <w:rsid w:val="009F03CF"/>
    <w:rsid w:val="009F0AF9"/>
    <w:rsid w:val="009F2FD9"/>
    <w:rsid w:val="009F550C"/>
    <w:rsid w:val="009F6D1B"/>
    <w:rsid w:val="009F719E"/>
    <w:rsid w:val="00A00E28"/>
    <w:rsid w:val="00A01FF3"/>
    <w:rsid w:val="00A057D8"/>
    <w:rsid w:val="00A05FC4"/>
    <w:rsid w:val="00A06D93"/>
    <w:rsid w:val="00A07420"/>
    <w:rsid w:val="00A119E3"/>
    <w:rsid w:val="00A11B03"/>
    <w:rsid w:val="00A12162"/>
    <w:rsid w:val="00A13FC6"/>
    <w:rsid w:val="00A14417"/>
    <w:rsid w:val="00A144B9"/>
    <w:rsid w:val="00A15111"/>
    <w:rsid w:val="00A2105B"/>
    <w:rsid w:val="00A21CED"/>
    <w:rsid w:val="00A224C5"/>
    <w:rsid w:val="00A230C4"/>
    <w:rsid w:val="00A24244"/>
    <w:rsid w:val="00A27141"/>
    <w:rsid w:val="00A276A5"/>
    <w:rsid w:val="00A3107D"/>
    <w:rsid w:val="00A3154A"/>
    <w:rsid w:val="00A316AF"/>
    <w:rsid w:val="00A32614"/>
    <w:rsid w:val="00A32727"/>
    <w:rsid w:val="00A3490F"/>
    <w:rsid w:val="00A34C2C"/>
    <w:rsid w:val="00A36589"/>
    <w:rsid w:val="00A4038A"/>
    <w:rsid w:val="00A40760"/>
    <w:rsid w:val="00A40CCE"/>
    <w:rsid w:val="00A40DBB"/>
    <w:rsid w:val="00A412E4"/>
    <w:rsid w:val="00A42D1B"/>
    <w:rsid w:val="00A446E3"/>
    <w:rsid w:val="00A47466"/>
    <w:rsid w:val="00A50025"/>
    <w:rsid w:val="00A5020F"/>
    <w:rsid w:val="00A508BB"/>
    <w:rsid w:val="00A50F5C"/>
    <w:rsid w:val="00A5158A"/>
    <w:rsid w:val="00A52D2C"/>
    <w:rsid w:val="00A538A4"/>
    <w:rsid w:val="00A53C22"/>
    <w:rsid w:val="00A541E2"/>
    <w:rsid w:val="00A54BF9"/>
    <w:rsid w:val="00A54C1F"/>
    <w:rsid w:val="00A54EFE"/>
    <w:rsid w:val="00A5575A"/>
    <w:rsid w:val="00A55F33"/>
    <w:rsid w:val="00A55FB1"/>
    <w:rsid w:val="00A56AE1"/>
    <w:rsid w:val="00A570B4"/>
    <w:rsid w:val="00A57552"/>
    <w:rsid w:val="00A57698"/>
    <w:rsid w:val="00A60843"/>
    <w:rsid w:val="00A614E4"/>
    <w:rsid w:val="00A61C9D"/>
    <w:rsid w:val="00A61E52"/>
    <w:rsid w:val="00A62AB9"/>
    <w:rsid w:val="00A62B45"/>
    <w:rsid w:val="00A63306"/>
    <w:rsid w:val="00A6347D"/>
    <w:rsid w:val="00A63E2D"/>
    <w:rsid w:val="00A64062"/>
    <w:rsid w:val="00A64201"/>
    <w:rsid w:val="00A660CD"/>
    <w:rsid w:val="00A668C3"/>
    <w:rsid w:val="00A67229"/>
    <w:rsid w:val="00A6781C"/>
    <w:rsid w:val="00A67E87"/>
    <w:rsid w:val="00A70641"/>
    <w:rsid w:val="00A71118"/>
    <w:rsid w:val="00A713F1"/>
    <w:rsid w:val="00A71CF1"/>
    <w:rsid w:val="00A72238"/>
    <w:rsid w:val="00A7242C"/>
    <w:rsid w:val="00A75B25"/>
    <w:rsid w:val="00A767B8"/>
    <w:rsid w:val="00A7787B"/>
    <w:rsid w:val="00A77D76"/>
    <w:rsid w:val="00A80890"/>
    <w:rsid w:val="00A80D02"/>
    <w:rsid w:val="00A813DF"/>
    <w:rsid w:val="00A85BE8"/>
    <w:rsid w:val="00A862AB"/>
    <w:rsid w:val="00A86D63"/>
    <w:rsid w:val="00A91AFB"/>
    <w:rsid w:val="00A9402A"/>
    <w:rsid w:val="00A94829"/>
    <w:rsid w:val="00A9550F"/>
    <w:rsid w:val="00A95819"/>
    <w:rsid w:val="00A964C9"/>
    <w:rsid w:val="00A97433"/>
    <w:rsid w:val="00A97526"/>
    <w:rsid w:val="00A97DCB"/>
    <w:rsid w:val="00AA1797"/>
    <w:rsid w:val="00AA1E7D"/>
    <w:rsid w:val="00AA5493"/>
    <w:rsid w:val="00AA54D3"/>
    <w:rsid w:val="00AA6754"/>
    <w:rsid w:val="00AA6E3F"/>
    <w:rsid w:val="00AB011E"/>
    <w:rsid w:val="00AB1638"/>
    <w:rsid w:val="00AB1ADE"/>
    <w:rsid w:val="00AB299B"/>
    <w:rsid w:val="00AB3333"/>
    <w:rsid w:val="00AB3982"/>
    <w:rsid w:val="00AB4575"/>
    <w:rsid w:val="00AB4E2D"/>
    <w:rsid w:val="00AB62B6"/>
    <w:rsid w:val="00AC02E9"/>
    <w:rsid w:val="00AC0D79"/>
    <w:rsid w:val="00AC1548"/>
    <w:rsid w:val="00AC1C2A"/>
    <w:rsid w:val="00AC1E46"/>
    <w:rsid w:val="00AC273D"/>
    <w:rsid w:val="00AC2E75"/>
    <w:rsid w:val="00AC5DA4"/>
    <w:rsid w:val="00AD0A63"/>
    <w:rsid w:val="00AD0CB8"/>
    <w:rsid w:val="00AD12A4"/>
    <w:rsid w:val="00AD134F"/>
    <w:rsid w:val="00AD155C"/>
    <w:rsid w:val="00AD23B9"/>
    <w:rsid w:val="00AD325A"/>
    <w:rsid w:val="00AD3C5D"/>
    <w:rsid w:val="00AD4E54"/>
    <w:rsid w:val="00AD5446"/>
    <w:rsid w:val="00AD71A5"/>
    <w:rsid w:val="00AE0448"/>
    <w:rsid w:val="00AE073E"/>
    <w:rsid w:val="00AE1E2E"/>
    <w:rsid w:val="00AE3A9D"/>
    <w:rsid w:val="00AE4BD2"/>
    <w:rsid w:val="00AE7597"/>
    <w:rsid w:val="00AF21B2"/>
    <w:rsid w:val="00AF23CF"/>
    <w:rsid w:val="00AF4FB9"/>
    <w:rsid w:val="00AF5165"/>
    <w:rsid w:val="00AF5F8A"/>
    <w:rsid w:val="00AF6349"/>
    <w:rsid w:val="00B00AB8"/>
    <w:rsid w:val="00B03169"/>
    <w:rsid w:val="00B0395F"/>
    <w:rsid w:val="00B0413E"/>
    <w:rsid w:val="00B04F28"/>
    <w:rsid w:val="00B06641"/>
    <w:rsid w:val="00B11063"/>
    <w:rsid w:val="00B120DB"/>
    <w:rsid w:val="00B1285B"/>
    <w:rsid w:val="00B13084"/>
    <w:rsid w:val="00B14374"/>
    <w:rsid w:val="00B15919"/>
    <w:rsid w:val="00B16B86"/>
    <w:rsid w:val="00B17440"/>
    <w:rsid w:val="00B17F52"/>
    <w:rsid w:val="00B23D7A"/>
    <w:rsid w:val="00B245C7"/>
    <w:rsid w:val="00B25310"/>
    <w:rsid w:val="00B27AB5"/>
    <w:rsid w:val="00B27D9C"/>
    <w:rsid w:val="00B30F2D"/>
    <w:rsid w:val="00B3110B"/>
    <w:rsid w:val="00B316B1"/>
    <w:rsid w:val="00B31739"/>
    <w:rsid w:val="00B32A72"/>
    <w:rsid w:val="00B32C26"/>
    <w:rsid w:val="00B359DA"/>
    <w:rsid w:val="00B35A6B"/>
    <w:rsid w:val="00B365A4"/>
    <w:rsid w:val="00B37BA4"/>
    <w:rsid w:val="00B4066D"/>
    <w:rsid w:val="00B41499"/>
    <w:rsid w:val="00B41A68"/>
    <w:rsid w:val="00B41C89"/>
    <w:rsid w:val="00B41FA4"/>
    <w:rsid w:val="00B4206A"/>
    <w:rsid w:val="00B4222F"/>
    <w:rsid w:val="00B4310E"/>
    <w:rsid w:val="00B45188"/>
    <w:rsid w:val="00B46E60"/>
    <w:rsid w:val="00B47C87"/>
    <w:rsid w:val="00B47D85"/>
    <w:rsid w:val="00B5171F"/>
    <w:rsid w:val="00B517A4"/>
    <w:rsid w:val="00B52930"/>
    <w:rsid w:val="00B53860"/>
    <w:rsid w:val="00B54203"/>
    <w:rsid w:val="00B553E4"/>
    <w:rsid w:val="00B55505"/>
    <w:rsid w:val="00B55B5B"/>
    <w:rsid w:val="00B562A0"/>
    <w:rsid w:val="00B564CD"/>
    <w:rsid w:val="00B5673C"/>
    <w:rsid w:val="00B567B0"/>
    <w:rsid w:val="00B568EF"/>
    <w:rsid w:val="00B60A04"/>
    <w:rsid w:val="00B61B92"/>
    <w:rsid w:val="00B621DA"/>
    <w:rsid w:val="00B6306A"/>
    <w:rsid w:val="00B638DA"/>
    <w:rsid w:val="00B63B72"/>
    <w:rsid w:val="00B64027"/>
    <w:rsid w:val="00B65023"/>
    <w:rsid w:val="00B66FE4"/>
    <w:rsid w:val="00B7019C"/>
    <w:rsid w:val="00B7028D"/>
    <w:rsid w:val="00B719BA"/>
    <w:rsid w:val="00B722B9"/>
    <w:rsid w:val="00B7263C"/>
    <w:rsid w:val="00B72F69"/>
    <w:rsid w:val="00B73BD2"/>
    <w:rsid w:val="00B74D4A"/>
    <w:rsid w:val="00B755B9"/>
    <w:rsid w:val="00B75C6A"/>
    <w:rsid w:val="00B75D54"/>
    <w:rsid w:val="00B761B9"/>
    <w:rsid w:val="00B81574"/>
    <w:rsid w:val="00B8236F"/>
    <w:rsid w:val="00B83742"/>
    <w:rsid w:val="00B83AFC"/>
    <w:rsid w:val="00B84555"/>
    <w:rsid w:val="00B8669A"/>
    <w:rsid w:val="00B8769D"/>
    <w:rsid w:val="00B91ACF"/>
    <w:rsid w:val="00B92026"/>
    <w:rsid w:val="00B962AF"/>
    <w:rsid w:val="00BA010B"/>
    <w:rsid w:val="00BA0A54"/>
    <w:rsid w:val="00BA198C"/>
    <w:rsid w:val="00BA2F10"/>
    <w:rsid w:val="00BA36B1"/>
    <w:rsid w:val="00BA3EAB"/>
    <w:rsid w:val="00BA435A"/>
    <w:rsid w:val="00BA5790"/>
    <w:rsid w:val="00BA59F7"/>
    <w:rsid w:val="00BA6A73"/>
    <w:rsid w:val="00BA6D06"/>
    <w:rsid w:val="00BB09C0"/>
    <w:rsid w:val="00BB26B4"/>
    <w:rsid w:val="00BB4AA8"/>
    <w:rsid w:val="00BC1120"/>
    <w:rsid w:val="00BC2867"/>
    <w:rsid w:val="00BC3556"/>
    <w:rsid w:val="00BC5278"/>
    <w:rsid w:val="00BC52B0"/>
    <w:rsid w:val="00BC6546"/>
    <w:rsid w:val="00BD06C0"/>
    <w:rsid w:val="00BD0BDF"/>
    <w:rsid w:val="00BD1C7F"/>
    <w:rsid w:val="00BD2C94"/>
    <w:rsid w:val="00BD3129"/>
    <w:rsid w:val="00BD332E"/>
    <w:rsid w:val="00BD4873"/>
    <w:rsid w:val="00BD4931"/>
    <w:rsid w:val="00BD4B67"/>
    <w:rsid w:val="00BD4FCD"/>
    <w:rsid w:val="00BD7614"/>
    <w:rsid w:val="00BD76BF"/>
    <w:rsid w:val="00BD79CC"/>
    <w:rsid w:val="00BE0708"/>
    <w:rsid w:val="00BE0F8B"/>
    <w:rsid w:val="00BE1C2E"/>
    <w:rsid w:val="00BE1E23"/>
    <w:rsid w:val="00BE1EE1"/>
    <w:rsid w:val="00BE335C"/>
    <w:rsid w:val="00BE3621"/>
    <w:rsid w:val="00BE4061"/>
    <w:rsid w:val="00BE46A2"/>
    <w:rsid w:val="00BE4818"/>
    <w:rsid w:val="00BE7B2D"/>
    <w:rsid w:val="00BF00AF"/>
    <w:rsid w:val="00BF143D"/>
    <w:rsid w:val="00BF1674"/>
    <w:rsid w:val="00BF39ED"/>
    <w:rsid w:val="00BF5B8B"/>
    <w:rsid w:val="00BF61B8"/>
    <w:rsid w:val="00C00437"/>
    <w:rsid w:val="00C01583"/>
    <w:rsid w:val="00C0375F"/>
    <w:rsid w:val="00C0456F"/>
    <w:rsid w:val="00C0466C"/>
    <w:rsid w:val="00C04E8A"/>
    <w:rsid w:val="00C109E2"/>
    <w:rsid w:val="00C137A5"/>
    <w:rsid w:val="00C14849"/>
    <w:rsid w:val="00C1574D"/>
    <w:rsid w:val="00C15EF3"/>
    <w:rsid w:val="00C166A3"/>
    <w:rsid w:val="00C16B44"/>
    <w:rsid w:val="00C16E5C"/>
    <w:rsid w:val="00C1734B"/>
    <w:rsid w:val="00C21626"/>
    <w:rsid w:val="00C2170B"/>
    <w:rsid w:val="00C232DD"/>
    <w:rsid w:val="00C255D5"/>
    <w:rsid w:val="00C25A57"/>
    <w:rsid w:val="00C2636A"/>
    <w:rsid w:val="00C26911"/>
    <w:rsid w:val="00C27F5D"/>
    <w:rsid w:val="00C306E3"/>
    <w:rsid w:val="00C34383"/>
    <w:rsid w:val="00C34A46"/>
    <w:rsid w:val="00C35BCF"/>
    <w:rsid w:val="00C36902"/>
    <w:rsid w:val="00C37517"/>
    <w:rsid w:val="00C37CCC"/>
    <w:rsid w:val="00C4075E"/>
    <w:rsid w:val="00C412B6"/>
    <w:rsid w:val="00C4189A"/>
    <w:rsid w:val="00C41AFD"/>
    <w:rsid w:val="00C4417A"/>
    <w:rsid w:val="00C44580"/>
    <w:rsid w:val="00C44C24"/>
    <w:rsid w:val="00C452AC"/>
    <w:rsid w:val="00C454A2"/>
    <w:rsid w:val="00C46781"/>
    <w:rsid w:val="00C47BAF"/>
    <w:rsid w:val="00C47BE4"/>
    <w:rsid w:val="00C51056"/>
    <w:rsid w:val="00C52175"/>
    <w:rsid w:val="00C5322A"/>
    <w:rsid w:val="00C533AD"/>
    <w:rsid w:val="00C5393B"/>
    <w:rsid w:val="00C54279"/>
    <w:rsid w:val="00C54C30"/>
    <w:rsid w:val="00C56074"/>
    <w:rsid w:val="00C56818"/>
    <w:rsid w:val="00C60565"/>
    <w:rsid w:val="00C60804"/>
    <w:rsid w:val="00C60A31"/>
    <w:rsid w:val="00C60DD4"/>
    <w:rsid w:val="00C61FEA"/>
    <w:rsid w:val="00C6220E"/>
    <w:rsid w:val="00C642D4"/>
    <w:rsid w:val="00C64A2C"/>
    <w:rsid w:val="00C66FC7"/>
    <w:rsid w:val="00C73B2B"/>
    <w:rsid w:val="00C76C9D"/>
    <w:rsid w:val="00C8324D"/>
    <w:rsid w:val="00C83951"/>
    <w:rsid w:val="00C85768"/>
    <w:rsid w:val="00C9014F"/>
    <w:rsid w:val="00C905E8"/>
    <w:rsid w:val="00C9096C"/>
    <w:rsid w:val="00C91CF7"/>
    <w:rsid w:val="00C9269F"/>
    <w:rsid w:val="00C940A5"/>
    <w:rsid w:val="00C94B01"/>
    <w:rsid w:val="00C950E7"/>
    <w:rsid w:val="00C959F3"/>
    <w:rsid w:val="00C96933"/>
    <w:rsid w:val="00C976FB"/>
    <w:rsid w:val="00CA0D36"/>
    <w:rsid w:val="00CA3564"/>
    <w:rsid w:val="00CA3987"/>
    <w:rsid w:val="00CA3E31"/>
    <w:rsid w:val="00CA3EF1"/>
    <w:rsid w:val="00CA537F"/>
    <w:rsid w:val="00CA53DF"/>
    <w:rsid w:val="00CA5A18"/>
    <w:rsid w:val="00CA643B"/>
    <w:rsid w:val="00CA6BCD"/>
    <w:rsid w:val="00CA703C"/>
    <w:rsid w:val="00CA74A4"/>
    <w:rsid w:val="00CB0302"/>
    <w:rsid w:val="00CB1C2B"/>
    <w:rsid w:val="00CB2836"/>
    <w:rsid w:val="00CB2A8C"/>
    <w:rsid w:val="00CB30A4"/>
    <w:rsid w:val="00CB4E0A"/>
    <w:rsid w:val="00CB6DBC"/>
    <w:rsid w:val="00CB7825"/>
    <w:rsid w:val="00CC21A0"/>
    <w:rsid w:val="00CC24CB"/>
    <w:rsid w:val="00CC3FC0"/>
    <w:rsid w:val="00CC445B"/>
    <w:rsid w:val="00CC52A8"/>
    <w:rsid w:val="00CC67FB"/>
    <w:rsid w:val="00CC691E"/>
    <w:rsid w:val="00CC73F0"/>
    <w:rsid w:val="00CC7C35"/>
    <w:rsid w:val="00CD077F"/>
    <w:rsid w:val="00CD1310"/>
    <w:rsid w:val="00CD23F9"/>
    <w:rsid w:val="00CD254E"/>
    <w:rsid w:val="00CD432B"/>
    <w:rsid w:val="00CD4665"/>
    <w:rsid w:val="00CD4C8A"/>
    <w:rsid w:val="00CD6A7B"/>
    <w:rsid w:val="00CD6F62"/>
    <w:rsid w:val="00CE09F5"/>
    <w:rsid w:val="00CE2DB7"/>
    <w:rsid w:val="00CE3471"/>
    <w:rsid w:val="00CE58F2"/>
    <w:rsid w:val="00CE5992"/>
    <w:rsid w:val="00CE5EA1"/>
    <w:rsid w:val="00CE630A"/>
    <w:rsid w:val="00CE6908"/>
    <w:rsid w:val="00CE7ED6"/>
    <w:rsid w:val="00CF0F64"/>
    <w:rsid w:val="00CF1628"/>
    <w:rsid w:val="00CF252F"/>
    <w:rsid w:val="00CF3217"/>
    <w:rsid w:val="00CF3B1E"/>
    <w:rsid w:val="00CF5D5C"/>
    <w:rsid w:val="00CF5EC5"/>
    <w:rsid w:val="00D02C82"/>
    <w:rsid w:val="00D034E1"/>
    <w:rsid w:val="00D034FB"/>
    <w:rsid w:val="00D04105"/>
    <w:rsid w:val="00D052D5"/>
    <w:rsid w:val="00D05CA6"/>
    <w:rsid w:val="00D07406"/>
    <w:rsid w:val="00D074C3"/>
    <w:rsid w:val="00D07B44"/>
    <w:rsid w:val="00D1090E"/>
    <w:rsid w:val="00D129C8"/>
    <w:rsid w:val="00D12E39"/>
    <w:rsid w:val="00D14B7A"/>
    <w:rsid w:val="00D15DF4"/>
    <w:rsid w:val="00D16038"/>
    <w:rsid w:val="00D16914"/>
    <w:rsid w:val="00D16E08"/>
    <w:rsid w:val="00D17B2B"/>
    <w:rsid w:val="00D2011F"/>
    <w:rsid w:val="00D20B25"/>
    <w:rsid w:val="00D212CB"/>
    <w:rsid w:val="00D21F55"/>
    <w:rsid w:val="00D227FC"/>
    <w:rsid w:val="00D24D89"/>
    <w:rsid w:val="00D26C0F"/>
    <w:rsid w:val="00D27148"/>
    <w:rsid w:val="00D27FDC"/>
    <w:rsid w:val="00D30519"/>
    <w:rsid w:val="00D30557"/>
    <w:rsid w:val="00D327C7"/>
    <w:rsid w:val="00D3329D"/>
    <w:rsid w:val="00D33636"/>
    <w:rsid w:val="00D33B5B"/>
    <w:rsid w:val="00D3470C"/>
    <w:rsid w:val="00D34F15"/>
    <w:rsid w:val="00D3504D"/>
    <w:rsid w:val="00D36429"/>
    <w:rsid w:val="00D36A6B"/>
    <w:rsid w:val="00D4043A"/>
    <w:rsid w:val="00D41BFE"/>
    <w:rsid w:val="00D425BB"/>
    <w:rsid w:val="00D43950"/>
    <w:rsid w:val="00D43DAB"/>
    <w:rsid w:val="00D44170"/>
    <w:rsid w:val="00D44266"/>
    <w:rsid w:val="00D454C8"/>
    <w:rsid w:val="00D4676A"/>
    <w:rsid w:val="00D50B6B"/>
    <w:rsid w:val="00D51EBB"/>
    <w:rsid w:val="00D56950"/>
    <w:rsid w:val="00D5737F"/>
    <w:rsid w:val="00D60989"/>
    <w:rsid w:val="00D613EE"/>
    <w:rsid w:val="00D61A5B"/>
    <w:rsid w:val="00D62480"/>
    <w:rsid w:val="00D62F06"/>
    <w:rsid w:val="00D62F95"/>
    <w:rsid w:val="00D630EC"/>
    <w:rsid w:val="00D6466C"/>
    <w:rsid w:val="00D64996"/>
    <w:rsid w:val="00D64BF4"/>
    <w:rsid w:val="00D667FA"/>
    <w:rsid w:val="00D70788"/>
    <w:rsid w:val="00D723E2"/>
    <w:rsid w:val="00D75B53"/>
    <w:rsid w:val="00D7632E"/>
    <w:rsid w:val="00D76AF6"/>
    <w:rsid w:val="00D76E1F"/>
    <w:rsid w:val="00D77463"/>
    <w:rsid w:val="00D7783B"/>
    <w:rsid w:val="00D8023B"/>
    <w:rsid w:val="00D803BC"/>
    <w:rsid w:val="00D80AD3"/>
    <w:rsid w:val="00D8330F"/>
    <w:rsid w:val="00D83899"/>
    <w:rsid w:val="00D84508"/>
    <w:rsid w:val="00D8451F"/>
    <w:rsid w:val="00D84B68"/>
    <w:rsid w:val="00D856C9"/>
    <w:rsid w:val="00D8683C"/>
    <w:rsid w:val="00D86981"/>
    <w:rsid w:val="00D87927"/>
    <w:rsid w:val="00D90A33"/>
    <w:rsid w:val="00D90B47"/>
    <w:rsid w:val="00D9189D"/>
    <w:rsid w:val="00D93DD6"/>
    <w:rsid w:val="00D94C07"/>
    <w:rsid w:val="00D94C58"/>
    <w:rsid w:val="00D95B94"/>
    <w:rsid w:val="00D9678D"/>
    <w:rsid w:val="00DA030D"/>
    <w:rsid w:val="00DA0C1D"/>
    <w:rsid w:val="00DA0DFA"/>
    <w:rsid w:val="00DA1A6A"/>
    <w:rsid w:val="00DA272B"/>
    <w:rsid w:val="00DA3267"/>
    <w:rsid w:val="00DA3998"/>
    <w:rsid w:val="00DA661D"/>
    <w:rsid w:val="00DA7139"/>
    <w:rsid w:val="00DA7940"/>
    <w:rsid w:val="00DA7F72"/>
    <w:rsid w:val="00DB07FB"/>
    <w:rsid w:val="00DB0903"/>
    <w:rsid w:val="00DB1697"/>
    <w:rsid w:val="00DB1B53"/>
    <w:rsid w:val="00DB2204"/>
    <w:rsid w:val="00DB3186"/>
    <w:rsid w:val="00DB5196"/>
    <w:rsid w:val="00DB652F"/>
    <w:rsid w:val="00DB670F"/>
    <w:rsid w:val="00DB7BBB"/>
    <w:rsid w:val="00DC3432"/>
    <w:rsid w:val="00DC4175"/>
    <w:rsid w:val="00DC489E"/>
    <w:rsid w:val="00DD1190"/>
    <w:rsid w:val="00DD1CB8"/>
    <w:rsid w:val="00DD2737"/>
    <w:rsid w:val="00DD34AF"/>
    <w:rsid w:val="00DD4B22"/>
    <w:rsid w:val="00DD5566"/>
    <w:rsid w:val="00DD66C8"/>
    <w:rsid w:val="00DD7E5A"/>
    <w:rsid w:val="00DE023C"/>
    <w:rsid w:val="00DE0F43"/>
    <w:rsid w:val="00DE1C94"/>
    <w:rsid w:val="00DE2CC8"/>
    <w:rsid w:val="00DE34C9"/>
    <w:rsid w:val="00DE4433"/>
    <w:rsid w:val="00DE450A"/>
    <w:rsid w:val="00DE47D2"/>
    <w:rsid w:val="00DE4C52"/>
    <w:rsid w:val="00DE4D71"/>
    <w:rsid w:val="00DE628C"/>
    <w:rsid w:val="00DE75F5"/>
    <w:rsid w:val="00DE7E05"/>
    <w:rsid w:val="00DF0862"/>
    <w:rsid w:val="00DF1AD2"/>
    <w:rsid w:val="00DF317F"/>
    <w:rsid w:val="00DF3872"/>
    <w:rsid w:val="00DF439D"/>
    <w:rsid w:val="00DF43CE"/>
    <w:rsid w:val="00DF543E"/>
    <w:rsid w:val="00DF76D7"/>
    <w:rsid w:val="00DF7CEF"/>
    <w:rsid w:val="00E00740"/>
    <w:rsid w:val="00E01285"/>
    <w:rsid w:val="00E01E17"/>
    <w:rsid w:val="00E04521"/>
    <w:rsid w:val="00E04607"/>
    <w:rsid w:val="00E0471C"/>
    <w:rsid w:val="00E04D60"/>
    <w:rsid w:val="00E05505"/>
    <w:rsid w:val="00E06F1C"/>
    <w:rsid w:val="00E079C3"/>
    <w:rsid w:val="00E113AA"/>
    <w:rsid w:val="00E16747"/>
    <w:rsid w:val="00E20B2A"/>
    <w:rsid w:val="00E20FDE"/>
    <w:rsid w:val="00E21BE8"/>
    <w:rsid w:val="00E21D3B"/>
    <w:rsid w:val="00E22035"/>
    <w:rsid w:val="00E2347A"/>
    <w:rsid w:val="00E2380A"/>
    <w:rsid w:val="00E25EAA"/>
    <w:rsid w:val="00E31E31"/>
    <w:rsid w:val="00E323F6"/>
    <w:rsid w:val="00E327A6"/>
    <w:rsid w:val="00E35622"/>
    <w:rsid w:val="00E405C0"/>
    <w:rsid w:val="00E42051"/>
    <w:rsid w:val="00E501DF"/>
    <w:rsid w:val="00E501FC"/>
    <w:rsid w:val="00E504AA"/>
    <w:rsid w:val="00E50A32"/>
    <w:rsid w:val="00E50A73"/>
    <w:rsid w:val="00E54C63"/>
    <w:rsid w:val="00E56874"/>
    <w:rsid w:val="00E5719B"/>
    <w:rsid w:val="00E57D27"/>
    <w:rsid w:val="00E62182"/>
    <w:rsid w:val="00E62316"/>
    <w:rsid w:val="00E66994"/>
    <w:rsid w:val="00E669AB"/>
    <w:rsid w:val="00E67E83"/>
    <w:rsid w:val="00E7000E"/>
    <w:rsid w:val="00E70D91"/>
    <w:rsid w:val="00E74469"/>
    <w:rsid w:val="00E7504C"/>
    <w:rsid w:val="00E751A5"/>
    <w:rsid w:val="00E752A8"/>
    <w:rsid w:val="00E754E9"/>
    <w:rsid w:val="00E75614"/>
    <w:rsid w:val="00E75BFB"/>
    <w:rsid w:val="00E76B8D"/>
    <w:rsid w:val="00E76E98"/>
    <w:rsid w:val="00E7722A"/>
    <w:rsid w:val="00E77958"/>
    <w:rsid w:val="00E77FAD"/>
    <w:rsid w:val="00E807D4"/>
    <w:rsid w:val="00E80C2D"/>
    <w:rsid w:val="00E83F5F"/>
    <w:rsid w:val="00E84A63"/>
    <w:rsid w:val="00E86C4B"/>
    <w:rsid w:val="00E870B4"/>
    <w:rsid w:val="00E8798A"/>
    <w:rsid w:val="00E87E04"/>
    <w:rsid w:val="00E90177"/>
    <w:rsid w:val="00E9207E"/>
    <w:rsid w:val="00E941E4"/>
    <w:rsid w:val="00E95316"/>
    <w:rsid w:val="00E953FB"/>
    <w:rsid w:val="00E95691"/>
    <w:rsid w:val="00E95D41"/>
    <w:rsid w:val="00E97973"/>
    <w:rsid w:val="00E97B89"/>
    <w:rsid w:val="00E97D40"/>
    <w:rsid w:val="00E97D7E"/>
    <w:rsid w:val="00EA0064"/>
    <w:rsid w:val="00EA0B9E"/>
    <w:rsid w:val="00EA54DF"/>
    <w:rsid w:val="00EA581B"/>
    <w:rsid w:val="00EA60CD"/>
    <w:rsid w:val="00EA723D"/>
    <w:rsid w:val="00EA7526"/>
    <w:rsid w:val="00EA7CC1"/>
    <w:rsid w:val="00EB05D5"/>
    <w:rsid w:val="00EB1410"/>
    <w:rsid w:val="00EB2A7B"/>
    <w:rsid w:val="00EB2B02"/>
    <w:rsid w:val="00EB2B23"/>
    <w:rsid w:val="00EB3742"/>
    <w:rsid w:val="00EB5243"/>
    <w:rsid w:val="00EB568E"/>
    <w:rsid w:val="00EB6784"/>
    <w:rsid w:val="00EB72B5"/>
    <w:rsid w:val="00EC02CA"/>
    <w:rsid w:val="00EC08DA"/>
    <w:rsid w:val="00EC1109"/>
    <w:rsid w:val="00EC12D3"/>
    <w:rsid w:val="00EC182D"/>
    <w:rsid w:val="00EC239C"/>
    <w:rsid w:val="00EC257F"/>
    <w:rsid w:val="00EC3C07"/>
    <w:rsid w:val="00ED0028"/>
    <w:rsid w:val="00ED037A"/>
    <w:rsid w:val="00ED0B99"/>
    <w:rsid w:val="00ED3CC7"/>
    <w:rsid w:val="00ED4489"/>
    <w:rsid w:val="00ED58B8"/>
    <w:rsid w:val="00EE0179"/>
    <w:rsid w:val="00EE62C5"/>
    <w:rsid w:val="00EE645C"/>
    <w:rsid w:val="00EE6582"/>
    <w:rsid w:val="00EE6BB2"/>
    <w:rsid w:val="00EE6E12"/>
    <w:rsid w:val="00EE79B7"/>
    <w:rsid w:val="00EF0E61"/>
    <w:rsid w:val="00EF1F0B"/>
    <w:rsid w:val="00EF4E62"/>
    <w:rsid w:val="00EF600E"/>
    <w:rsid w:val="00F0101C"/>
    <w:rsid w:val="00F013C2"/>
    <w:rsid w:val="00F01477"/>
    <w:rsid w:val="00F01621"/>
    <w:rsid w:val="00F01A58"/>
    <w:rsid w:val="00F02961"/>
    <w:rsid w:val="00F0371C"/>
    <w:rsid w:val="00F04430"/>
    <w:rsid w:val="00F05570"/>
    <w:rsid w:val="00F05768"/>
    <w:rsid w:val="00F060F2"/>
    <w:rsid w:val="00F065E8"/>
    <w:rsid w:val="00F06FC1"/>
    <w:rsid w:val="00F11D65"/>
    <w:rsid w:val="00F13A51"/>
    <w:rsid w:val="00F152D9"/>
    <w:rsid w:val="00F15397"/>
    <w:rsid w:val="00F1550D"/>
    <w:rsid w:val="00F16178"/>
    <w:rsid w:val="00F17F1B"/>
    <w:rsid w:val="00F2006D"/>
    <w:rsid w:val="00F21886"/>
    <w:rsid w:val="00F22796"/>
    <w:rsid w:val="00F22D44"/>
    <w:rsid w:val="00F24381"/>
    <w:rsid w:val="00F2485E"/>
    <w:rsid w:val="00F25BDD"/>
    <w:rsid w:val="00F26853"/>
    <w:rsid w:val="00F2749B"/>
    <w:rsid w:val="00F30529"/>
    <w:rsid w:val="00F305B8"/>
    <w:rsid w:val="00F319FE"/>
    <w:rsid w:val="00F325C3"/>
    <w:rsid w:val="00F37E13"/>
    <w:rsid w:val="00F40525"/>
    <w:rsid w:val="00F412C2"/>
    <w:rsid w:val="00F4217A"/>
    <w:rsid w:val="00F421ED"/>
    <w:rsid w:val="00F4277A"/>
    <w:rsid w:val="00F449A7"/>
    <w:rsid w:val="00F45D87"/>
    <w:rsid w:val="00F46481"/>
    <w:rsid w:val="00F46BC3"/>
    <w:rsid w:val="00F46E12"/>
    <w:rsid w:val="00F47335"/>
    <w:rsid w:val="00F47366"/>
    <w:rsid w:val="00F47C14"/>
    <w:rsid w:val="00F522F2"/>
    <w:rsid w:val="00F53655"/>
    <w:rsid w:val="00F55176"/>
    <w:rsid w:val="00F554FF"/>
    <w:rsid w:val="00F55622"/>
    <w:rsid w:val="00F570D6"/>
    <w:rsid w:val="00F60C41"/>
    <w:rsid w:val="00F63225"/>
    <w:rsid w:val="00F6347F"/>
    <w:rsid w:val="00F63899"/>
    <w:rsid w:val="00F64676"/>
    <w:rsid w:val="00F64CDA"/>
    <w:rsid w:val="00F64F6D"/>
    <w:rsid w:val="00F65FF8"/>
    <w:rsid w:val="00F66009"/>
    <w:rsid w:val="00F67A97"/>
    <w:rsid w:val="00F70088"/>
    <w:rsid w:val="00F74566"/>
    <w:rsid w:val="00F749F7"/>
    <w:rsid w:val="00F75BCB"/>
    <w:rsid w:val="00F766C9"/>
    <w:rsid w:val="00F76CBB"/>
    <w:rsid w:val="00F77037"/>
    <w:rsid w:val="00F800AD"/>
    <w:rsid w:val="00F8163A"/>
    <w:rsid w:val="00F8348E"/>
    <w:rsid w:val="00F83E18"/>
    <w:rsid w:val="00F83FB8"/>
    <w:rsid w:val="00F843EB"/>
    <w:rsid w:val="00F84443"/>
    <w:rsid w:val="00F85750"/>
    <w:rsid w:val="00F87390"/>
    <w:rsid w:val="00F91268"/>
    <w:rsid w:val="00F915D0"/>
    <w:rsid w:val="00F9282A"/>
    <w:rsid w:val="00F92CD9"/>
    <w:rsid w:val="00F931E4"/>
    <w:rsid w:val="00F9677D"/>
    <w:rsid w:val="00F978FC"/>
    <w:rsid w:val="00F97959"/>
    <w:rsid w:val="00FA01A5"/>
    <w:rsid w:val="00FA1215"/>
    <w:rsid w:val="00FA1632"/>
    <w:rsid w:val="00FA16A6"/>
    <w:rsid w:val="00FA2009"/>
    <w:rsid w:val="00FA4E93"/>
    <w:rsid w:val="00FA4F8A"/>
    <w:rsid w:val="00FA52BB"/>
    <w:rsid w:val="00FA560A"/>
    <w:rsid w:val="00FA74F5"/>
    <w:rsid w:val="00FA7D03"/>
    <w:rsid w:val="00FB2BAE"/>
    <w:rsid w:val="00FB3A74"/>
    <w:rsid w:val="00FB3AC6"/>
    <w:rsid w:val="00FB3D4D"/>
    <w:rsid w:val="00FB4CC7"/>
    <w:rsid w:val="00FB4F6F"/>
    <w:rsid w:val="00FB5264"/>
    <w:rsid w:val="00FB78A2"/>
    <w:rsid w:val="00FB7B21"/>
    <w:rsid w:val="00FC003D"/>
    <w:rsid w:val="00FC1051"/>
    <w:rsid w:val="00FC58AD"/>
    <w:rsid w:val="00FD0715"/>
    <w:rsid w:val="00FD3D60"/>
    <w:rsid w:val="00FD3F43"/>
    <w:rsid w:val="00FD5A62"/>
    <w:rsid w:val="00FD5BB8"/>
    <w:rsid w:val="00FD6AE0"/>
    <w:rsid w:val="00FD714F"/>
    <w:rsid w:val="00FE0BB1"/>
    <w:rsid w:val="00FE236B"/>
    <w:rsid w:val="00FE23D0"/>
    <w:rsid w:val="00FE2802"/>
    <w:rsid w:val="00FE3079"/>
    <w:rsid w:val="00FE34F6"/>
    <w:rsid w:val="00FE4305"/>
    <w:rsid w:val="00FF2C06"/>
    <w:rsid w:val="00FF2EEC"/>
    <w:rsid w:val="00FF2F5C"/>
    <w:rsid w:val="00FF3315"/>
    <w:rsid w:val="00FF5A4E"/>
    <w:rsid w:val="00FF7692"/>
    <w:rsid w:val="00FF7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silver" strokecolor="#969696">
      <v:fill color="silver"/>
      <v:stroke color="#96969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annotation text" w:uiPriority="99"/>
    <w:lsdException w:name="caption" w:uiPriority="35" w:qFormat="1"/>
    <w:lsdException w:name="footnote reference" w:uiPriority="99"/>
    <w:lsdException w:name="annotation reference" w:uiPriority="99"/>
    <w:lsdException w:name="endnote text"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16F"/>
    <w:pPr>
      <w:spacing w:before="120" w:after="120" w:line="240" w:lineRule="atLeast"/>
      <w:jc w:val="both"/>
    </w:pPr>
    <w:rPr>
      <w:rFonts w:ascii="Arial" w:hAnsi="Arial"/>
    </w:rPr>
  </w:style>
  <w:style w:type="paragraph" w:styleId="Heading1">
    <w:name w:val="heading 1"/>
    <w:next w:val="Heading2"/>
    <w:link w:val="Heading1Char"/>
    <w:qFormat/>
    <w:rsid w:val="0079768E"/>
    <w:pPr>
      <w:keepNext/>
      <w:tabs>
        <w:tab w:val="left" w:pos="709"/>
      </w:tabs>
      <w:spacing w:before="240" w:after="240" w:line="400" w:lineRule="atLeast"/>
      <w:jc w:val="both"/>
      <w:outlineLvl w:val="0"/>
    </w:pPr>
    <w:rPr>
      <w:rFonts w:ascii="Arial" w:hAnsi="Arial"/>
      <w:b/>
      <w:color w:val="333399"/>
      <w:sz w:val="36"/>
    </w:rPr>
  </w:style>
  <w:style w:type="paragraph" w:styleId="Heading2">
    <w:name w:val="heading 2"/>
    <w:basedOn w:val="Normal"/>
    <w:next w:val="Normal"/>
    <w:link w:val="Heading2Char"/>
    <w:qFormat/>
    <w:rsid w:val="0091101D"/>
    <w:pPr>
      <w:keepNext/>
      <w:keepLines/>
      <w:jc w:val="left"/>
      <w:outlineLvl w:val="1"/>
    </w:pPr>
    <w:rPr>
      <w:b/>
      <w:color w:val="333399"/>
      <w:sz w:val="28"/>
    </w:rPr>
  </w:style>
  <w:style w:type="paragraph" w:styleId="Heading3">
    <w:name w:val="heading 3"/>
    <w:next w:val="Normal"/>
    <w:link w:val="Heading3Char"/>
    <w:qFormat/>
    <w:rsid w:val="001F7037"/>
    <w:pPr>
      <w:keepNext/>
      <w:spacing w:before="120" w:after="120"/>
      <w:jc w:val="both"/>
      <w:outlineLvl w:val="2"/>
    </w:pPr>
    <w:rPr>
      <w:rFonts w:ascii="Arial" w:hAnsi="Arial"/>
      <w:b/>
      <w:color w:val="31849B"/>
      <w:sz w:val="22"/>
    </w:rPr>
  </w:style>
  <w:style w:type="paragraph" w:styleId="Heading4">
    <w:name w:val="heading 4"/>
    <w:basedOn w:val="Normal"/>
    <w:next w:val="Normal"/>
    <w:link w:val="Heading4Char"/>
    <w:qFormat/>
    <w:rsid w:val="00395C3F"/>
    <w:pPr>
      <w:keepNext/>
      <w:spacing w:after="0"/>
      <w:jc w:val="left"/>
      <w:outlineLvl w:val="3"/>
    </w:pPr>
    <w:rPr>
      <w:b/>
      <w:sz w:val="22"/>
    </w:rPr>
  </w:style>
  <w:style w:type="paragraph" w:styleId="Heading5">
    <w:name w:val="heading 5"/>
    <w:basedOn w:val="Normal"/>
    <w:next w:val="Normal"/>
    <w:link w:val="Heading5Char"/>
    <w:qFormat/>
    <w:rsid w:val="0079768E"/>
    <w:pPr>
      <w:spacing w:after="0"/>
      <w:outlineLvl w:val="4"/>
    </w:pPr>
    <w:rPr>
      <w:i/>
      <w:sz w:val="22"/>
    </w:rPr>
  </w:style>
  <w:style w:type="paragraph" w:styleId="Heading6">
    <w:name w:val="heading 6"/>
    <w:basedOn w:val="Normal"/>
    <w:next w:val="Normal"/>
    <w:link w:val="Heading6Char"/>
    <w:qFormat/>
    <w:rsid w:val="00F449A7"/>
    <w:pPr>
      <w:spacing w:before="240" w:after="60" w:line="240" w:lineRule="auto"/>
      <w:jc w:val="left"/>
      <w:outlineLvl w:val="5"/>
    </w:pPr>
    <w:rPr>
      <w:rFonts w:ascii="Times New Roman" w:eastAsia="Calibri" w:hAnsi="Times New Roman"/>
      <w:b/>
      <w:bCs/>
      <w:sz w:val="22"/>
      <w:szCs w:val="22"/>
      <w:lang w:eastAsia="en-US"/>
    </w:rPr>
  </w:style>
  <w:style w:type="paragraph" w:styleId="Heading7">
    <w:name w:val="heading 7"/>
    <w:basedOn w:val="Normal"/>
    <w:next w:val="Normal"/>
    <w:link w:val="Heading7Char"/>
    <w:qFormat/>
    <w:rsid w:val="00F449A7"/>
    <w:pPr>
      <w:spacing w:before="240" w:after="60" w:line="240" w:lineRule="auto"/>
      <w:jc w:val="left"/>
      <w:outlineLvl w:val="6"/>
    </w:pPr>
    <w:rPr>
      <w:rFonts w:ascii="Times New Roman" w:eastAsia="Calibri" w:hAnsi="Times New Roman"/>
      <w:sz w:val="24"/>
      <w:szCs w:val="24"/>
      <w:lang w:eastAsia="en-US"/>
    </w:rPr>
  </w:style>
  <w:style w:type="paragraph" w:styleId="Heading8">
    <w:name w:val="heading 8"/>
    <w:basedOn w:val="Normal"/>
    <w:next w:val="Normal"/>
    <w:link w:val="Heading8Char"/>
    <w:qFormat/>
    <w:rsid w:val="00F449A7"/>
    <w:pPr>
      <w:spacing w:before="240" w:after="60" w:line="240" w:lineRule="auto"/>
      <w:jc w:val="left"/>
      <w:outlineLvl w:val="7"/>
    </w:pPr>
    <w:rPr>
      <w:rFonts w:ascii="Times New Roman" w:eastAsia="Calibri" w:hAnsi="Times New Roman"/>
      <w:i/>
      <w:iCs/>
      <w:sz w:val="24"/>
      <w:szCs w:val="24"/>
      <w:lang w:eastAsia="en-US"/>
    </w:rPr>
  </w:style>
  <w:style w:type="paragraph" w:styleId="Heading9">
    <w:name w:val="heading 9"/>
    <w:basedOn w:val="Normal"/>
    <w:next w:val="Normal"/>
    <w:link w:val="Heading9Char"/>
    <w:qFormat/>
    <w:rsid w:val="00F449A7"/>
    <w:pPr>
      <w:spacing w:before="240" w:after="60" w:line="240" w:lineRule="auto"/>
      <w:jc w:val="left"/>
      <w:outlineLvl w:val="8"/>
    </w:pPr>
    <w:rPr>
      <w:rFonts w:eastAsia="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F7037"/>
    <w:rPr>
      <w:rFonts w:ascii="Arial" w:hAnsi="Arial"/>
      <w:b/>
      <w:color w:val="31849B"/>
      <w:sz w:val="22"/>
      <w:lang w:val="en-AU" w:eastAsia="en-AU" w:bidi="ar-SA"/>
    </w:rPr>
  </w:style>
  <w:style w:type="paragraph" w:customStyle="1" w:styleId="CharCharCharChar">
    <w:name w:val="Char Char Char Char"/>
    <w:basedOn w:val="Normal"/>
    <w:rsid w:val="00727205"/>
    <w:pPr>
      <w:spacing w:before="0" w:after="160" w:line="240" w:lineRule="exact"/>
      <w:jc w:val="left"/>
    </w:pPr>
    <w:rPr>
      <w:rFonts w:ascii="Verdana" w:hAnsi="Verdana"/>
      <w:szCs w:val="24"/>
      <w:lang w:val="en-US" w:eastAsia="en-US"/>
    </w:rPr>
  </w:style>
  <w:style w:type="paragraph" w:styleId="ListBullet">
    <w:name w:val="List Bullet"/>
    <w:basedOn w:val="Normal"/>
    <w:rsid w:val="0079768E"/>
    <w:pPr>
      <w:numPr>
        <w:numId w:val="1"/>
      </w:numPr>
      <w:spacing w:after="0"/>
      <w:contextualSpacing/>
    </w:pPr>
  </w:style>
  <w:style w:type="paragraph" w:customStyle="1" w:styleId="Footnote">
    <w:name w:val="Footnote"/>
    <w:basedOn w:val="Normal"/>
    <w:semiHidden/>
    <w:rsid w:val="00A63306"/>
    <w:pPr>
      <w:widowControl w:val="0"/>
      <w:suppressAutoHyphens/>
      <w:autoSpaceDE w:val="0"/>
      <w:autoSpaceDN w:val="0"/>
      <w:adjustRightInd w:val="0"/>
      <w:spacing w:before="170" w:line="200" w:lineRule="atLeast"/>
      <w:ind w:left="170" w:hanging="170"/>
      <w:textAlignment w:val="center"/>
    </w:pPr>
    <w:rPr>
      <w:rFonts w:cs="Arial"/>
      <w:color w:val="000000"/>
      <w:sz w:val="16"/>
      <w:szCs w:val="16"/>
    </w:rPr>
  </w:style>
  <w:style w:type="character" w:customStyle="1" w:styleId="Footnote1">
    <w:name w:val="Footnote1"/>
    <w:semiHidden/>
    <w:rsid w:val="00A63306"/>
    <w:rPr>
      <w:rFonts w:ascii="Arial" w:hAnsi="Arial" w:cs="Arial"/>
      <w:spacing w:val="0"/>
      <w:w w:val="100"/>
      <w:sz w:val="16"/>
      <w:szCs w:val="16"/>
      <w:vertAlign w:val="baseline"/>
    </w:rPr>
  </w:style>
  <w:style w:type="paragraph" w:customStyle="1" w:styleId="ContentsHeading">
    <w:name w:val="Contents Heading"/>
    <w:basedOn w:val="Normal"/>
    <w:rsid w:val="00AA6E3F"/>
    <w:pPr>
      <w:keepNext/>
      <w:keepLines/>
      <w:suppressAutoHyphens/>
      <w:autoSpaceDE w:val="0"/>
      <w:autoSpaceDN w:val="0"/>
      <w:adjustRightInd w:val="0"/>
      <w:spacing w:before="227" w:after="170" w:line="288" w:lineRule="auto"/>
      <w:textAlignment w:val="center"/>
    </w:pPr>
    <w:rPr>
      <w:rFonts w:ascii="Verdana" w:hAnsi="Verdana" w:cs="Verdana"/>
      <w:b/>
      <w:bCs/>
      <w:color w:val="003D7D"/>
    </w:rPr>
  </w:style>
  <w:style w:type="paragraph" w:customStyle="1" w:styleId="ContentsList">
    <w:name w:val="Contents List"/>
    <w:basedOn w:val="Normal"/>
    <w:rsid w:val="00395C3F"/>
    <w:pPr>
      <w:tabs>
        <w:tab w:val="right" w:pos="4253"/>
      </w:tabs>
      <w:suppressAutoHyphens/>
      <w:autoSpaceDE w:val="0"/>
      <w:autoSpaceDN w:val="0"/>
      <w:adjustRightInd w:val="0"/>
      <w:spacing w:before="57" w:line="280" w:lineRule="atLeast"/>
      <w:jc w:val="left"/>
      <w:textAlignment w:val="center"/>
    </w:pPr>
    <w:rPr>
      <w:rFonts w:ascii="Verdana" w:hAnsi="Verdana" w:cs="Verdana"/>
      <w:b/>
      <w:bCs/>
      <w:color w:val="455460"/>
    </w:rPr>
  </w:style>
  <w:style w:type="character" w:styleId="Hyperlink">
    <w:name w:val="Hyperlink"/>
    <w:basedOn w:val="DefaultParagraphFont"/>
    <w:rsid w:val="0079768E"/>
    <w:rPr>
      <w:noProof/>
      <w:color w:val="0000FF"/>
      <w:u w:val="single"/>
    </w:rPr>
  </w:style>
  <w:style w:type="paragraph" w:styleId="FootnoteText">
    <w:name w:val="footnote text"/>
    <w:aliases w:val="ALTS FOOTNOTE,(NECG) Footnote Text,Footnote text,AR Footnote Text,AR Footnote Text Char Char Char Char Char,fn,Footnote Text 2,FOOTNOTE,Footnote Text Char2 Char,Footnote Text Char1 Char2 Char,fn Char Char,f,Footnote Text Char2"/>
    <w:basedOn w:val="Normal"/>
    <w:link w:val="FootnoteTextChar1"/>
    <w:uiPriority w:val="99"/>
    <w:qFormat/>
    <w:rsid w:val="009A44DA"/>
  </w:style>
  <w:style w:type="character" w:customStyle="1" w:styleId="FootnoteTextChar1">
    <w:name w:val="Footnote Text Char1"/>
    <w:aliases w:val="ALTS FOOTNOTE Char,(NECG) Footnote Text Char,Footnote text Char,AR Footnote Text Char,AR Footnote Text Char Char Char Char Char Char,fn Char,Footnote Text 2 Char,FOOTNOTE Char,Footnote Text Char2 Char Char,fn Char Char Char,f Char"/>
    <w:basedOn w:val="DefaultParagraphFont"/>
    <w:link w:val="FootnoteText"/>
    <w:rsid w:val="009A44DA"/>
    <w:rPr>
      <w:lang w:val="en-AU" w:eastAsia="en-AU" w:bidi="ar-SA"/>
    </w:rPr>
  </w:style>
  <w:style w:type="paragraph" w:customStyle="1" w:styleId="Default">
    <w:name w:val="Default"/>
    <w:rsid w:val="009A44DA"/>
    <w:pPr>
      <w:autoSpaceDE w:val="0"/>
      <w:autoSpaceDN w:val="0"/>
      <w:adjustRightInd w:val="0"/>
      <w:spacing w:before="240" w:after="120"/>
      <w:jc w:val="both"/>
    </w:pPr>
    <w:rPr>
      <w:color w:val="000000"/>
      <w:sz w:val="24"/>
      <w:szCs w:val="24"/>
    </w:rPr>
  </w:style>
  <w:style w:type="character" w:styleId="CommentReference">
    <w:name w:val="annotation reference"/>
    <w:basedOn w:val="DefaultParagraphFont"/>
    <w:uiPriority w:val="99"/>
    <w:semiHidden/>
    <w:rsid w:val="009A44DA"/>
    <w:rPr>
      <w:sz w:val="16"/>
      <w:szCs w:val="16"/>
    </w:rPr>
  </w:style>
  <w:style w:type="paragraph" w:styleId="BalloonText">
    <w:name w:val="Balloon Text"/>
    <w:basedOn w:val="Normal"/>
    <w:link w:val="BalloonTextChar"/>
    <w:uiPriority w:val="99"/>
    <w:semiHidden/>
    <w:rsid w:val="0079768E"/>
    <w:rPr>
      <w:rFonts w:ascii="Tahoma" w:hAnsi="Tahoma" w:cs="Tahoma"/>
      <w:sz w:val="16"/>
      <w:szCs w:val="16"/>
    </w:rPr>
  </w:style>
  <w:style w:type="paragraph" w:styleId="ListBullet2">
    <w:name w:val="List Bullet 2"/>
    <w:basedOn w:val="Normal"/>
    <w:rsid w:val="0079768E"/>
    <w:pPr>
      <w:numPr>
        <w:numId w:val="2"/>
      </w:numPr>
      <w:spacing w:after="0"/>
      <w:contextualSpacing/>
    </w:pPr>
  </w:style>
  <w:style w:type="paragraph" w:styleId="ListBullet3">
    <w:name w:val="List Bullet 3"/>
    <w:basedOn w:val="Normal"/>
    <w:rsid w:val="0079768E"/>
    <w:pPr>
      <w:numPr>
        <w:numId w:val="3"/>
      </w:numPr>
      <w:spacing w:after="0"/>
      <w:contextualSpacing/>
    </w:pPr>
  </w:style>
  <w:style w:type="paragraph" w:styleId="TOC1">
    <w:name w:val="toc 1"/>
    <w:basedOn w:val="Normal"/>
    <w:next w:val="Normal"/>
    <w:uiPriority w:val="39"/>
    <w:rsid w:val="0079768E"/>
    <w:pPr>
      <w:tabs>
        <w:tab w:val="right" w:leader="dot" w:pos="8453"/>
      </w:tabs>
      <w:spacing w:before="240" w:after="0"/>
      <w:ind w:left="357" w:hanging="357"/>
    </w:pPr>
    <w:rPr>
      <w:b/>
    </w:rPr>
  </w:style>
  <w:style w:type="paragraph" w:styleId="TOC2">
    <w:name w:val="toc 2"/>
    <w:basedOn w:val="Normal"/>
    <w:next w:val="Normal"/>
    <w:uiPriority w:val="39"/>
    <w:rsid w:val="0079768E"/>
    <w:pPr>
      <w:tabs>
        <w:tab w:val="left" w:pos="851"/>
        <w:tab w:val="right" w:leader="dot" w:pos="8453"/>
      </w:tabs>
      <w:spacing w:after="0"/>
      <w:ind w:left="284"/>
    </w:pPr>
  </w:style>
  <w:style w:type="paragraph" w:styleId="TOC3">
    <w:name w:val="toc 3"/>
    <w:basedOn w:val="Normal"/>
    <w:next w:val="Normal"/>
    <w:semiHidden/>
    <w:rsid w:val="0079768E"/>
    <w:pPr>
      <w:tabs>
        <w:tab w:val="left" w:pos="1276"/>
        <w:tab w:val="right" w:leader="dot" w:pos="8454"/>
      </w:tabs>
      <w:ind w:left="567"/>
    </w:pPr>
    <w:rPr>
      <w:sz w:val="22"/>
      <w:szCs w:val="22"/>
    </w:rPr>
  </w:style>
  <w:style w:type="paragraph" w:styleId="TOC4">
    <w:name w:val="toc 4"/>
    <w:basedOn w:val="Normal"/>
    <w:next w:val="Normal"/>
    <w:semiHidden/>
    <w:rsid w:val="0079768E"/>
    <w:pPr>
      <w:tabs>
        <w:tab w:val="right" w:leader="dot" w:pos="8453"/>
      </w:tabs>
      <w:spacing w:after="0"/>
      <w:ind w:left="720"/>
    </w:pPr>
  </w:style>
  <w:style w:type="paragraph" w:styleId="ListParagraph">
    <w:name w:val="List Paragraph"/>
    <w:basedOn w:val="Normal"/>
    <w:uiPriority w:val="34"/>
    <w:qFormat/>
    <w:rsid w:val="000D4F7A"/>
    <w:pPr>
      <w:spacing w:before="0" w:after="200" w:line="276" w:lineRule="auto"/>
      <w:ind w:left="720"/>
      <w:contextualSpacing/>
      <w:jc w:val="left"/>
    </w:pPr>
    <w:rPr>
      <w:rFonts w:ascii="Calibri" w:eastAsia="Calibri" w:hAnsi="Calibri"/>
      <w:sz w:val="22"/>
      <w:szCs w:val="22"/>
      <w:lang w:val="en-GB" w:eastAsia="en-US"/>
    </w:rPr>
  </w:style>
  <w:style w:type="paragraph" w:styleId="Footer">
    <w:name w:val="footer"/>
    <w:basedOn w:val="Networkfooter"/>
    <w:link w:val="FooterChar"/>
    <w:rsid w:val="000D4F7A"/>
    <w:pPr>
      <w:tabs>
        <w:tab w:val="center" w:pos="4153"/>
        <w:tab w:val="right" w:pos="8306"/>
      </w:tabs>
      <w:spacing w:before="0" w:after="0" w:line="240" w:lineRule="auto"/>
      <w:jc w:val="left"/>
    </w:pPr>
    <w:rPr>
      <w:rFonts w:ascii="Times New Roman" w:hAnsi="Times New Roman"/>
      <w:sz w:val="24"/>
      <w:szCs w:val="24"/>
    </w:rPr>
  </w:style>
  <w:style w:type="character" w:customStyle="1" w:styleId="FooterChar">
    <w:name w:val="Footer Char"/>
    <w:basedOn w:val="DefaultParagraphFont"/>
    <w:link w:val="Footer"/>
    <w:rsid w:val="00E80C2D"/>
    <w:rPr>
      <w:rFonts w:cs="Arial"/>
      <w:color w:val="595959"/>
      <w:sz w:val="24"/>
      <w:szCs w:val="24"/>
      <w:lang w:val="en-US" w:eastAsia="en-US"/>
    </w:rPr>
  </w:style>
  <w:style w:type="character" w:styleId="PageNumber">
    <w:name w:val="page number"/>
    <w:basedOn w:val="DefaultParagraphFont"/>
    <w:rsid w:val="000D4F7A"/>
  </w:style>
  <w:style w:type="paragraph" w:styleId="Header">
    <w:name w:val="header"/>
    <w:basedOn w:val="Normal"/>
    <w:link w:val="HeaderChar"/>
    <w:rsid w:val="000D4F7A"/>
    <w:pPr>
      <w:tabs>
        <w:tab w:val="center" w:pos="4513"/>
        <w:tab w:val="right" w:pos="9026"/>
      </w:tabs>
      <w:spacing w:before="0" w:after="0" w:line="240" w:lineRule="auto"/>
      <w:jc w:val="left"/>
    </w:pPr>
    <w:rPr>
      <w:rFonts w:ascii="Times New Roman" w:hAnsi="Times New Roman"/>
      <w:sz w:val="24"/>
      <w:szCs w:val="24"/>
    </w:rPr>
  </w:style>
  <w:style w:type="character" w:customStyle="1" w:styleId="HeaderChar">
    <w:name w:val="Header Char"/>
    <w:basedOn w:val="DefaultParagraphFont"/>
    <w:link w:val="Header"/>
    <w:rsid w:val="000D4F7A"/>
    <w:rPr>
      <w:sz w:val="24"/>
      <w:szCs w:val="24"/>
      <w:lang w:val="en-AU" w:eastAsia="en-AU" w:bidi="ar-SA"/>
    </w:rPr>
  </w:style>
  <w:style w:type="paragraph" w:customStyle="1" w:styleId="BodyText1">
    <w:name w:val="Body Text1"/>
    <w:basedOn w:val="Default"/>
    <w:next w:val="Default"/>
    <w:link w:val="bodytextChar"/>
    <w:rsid w:val="00AB62B6"/>
    <w:rPr>
      <w:rFonts w:ascii="Arial" w:hAnsi="Arial"/>
      <w:color w:val="auto"/>
    </w:rPr>
  </w:style>
  <w:style w:type="paragraph" w:styleId="NormalWeb">
    <w:name w:val="Normal (Web)"/>
    <w:basedOn w:val="Normal"/>
    <w:uiPriority w:val="99"/>
    <w:rsid w:val="00AB62B6"/>
    <w:pPr>
      <w:spacing w:before="100" w:beforeAutospacing="1" w:after="100" w:afterAutospacing="1" w:line="240" w:lineRule="auto"/>
      <w:jc w:val="left"/>
    </w:pPr>
    <w:rPr>
      <w:rFonts w:ascii="Verdana" w:hAnsi="Verdana"/>
      <w:color w:val="000000"/>
      <w:sz w:val="18"/>
      <w:szCs w:val="18"/>
    </w:rPr>
  </w:style>
  <w:style w:type="character" w:styleId="Strong">
    <w:name w:val="Strong"/>
    <w:basedOn w:val="DefaultParagraphFont"/>
    <w:uiPriority w:val="22"/>
    <w:qFormat/>
    <w:rsid w:val="00AB62B6"/>
    <w:rPr>
      <w:b/>
      <w:bCs/>
    </w:rPr>
  </w:style>
  <w:style w:type="character" w:styleId="FollowedHyperlink">
    <w:name w:val="FollowedHyperlink"/>
    <w:basedOn w:val="DefaultParagraphFont"/>
    <w:rsid w:val="00843D44"/>
    <w:rPr>
      <w:color w:val="800080"/>
      <w:u w:val="single"/>
    </w:rPr>
  </w:style>
  <w:style w:type="character" w:customStyle="1" w:styleId="journal-journaltitle1">
    <w:name w:val="journal-journaltitle1"/>
    <w:basedOn w:val="DefaultParagraphFont"/>
    <w:rsid w:val="009943AC"/>
    <w:rPr>
      <w:rFonts w:ascii="Courier New" w:hAnsi="Courier New" w:cs="Courier New" w:hint="default"/>
      <w:b/>
      <w:bCs/>
      <w:sz w:val="30"/>
      <w:szCs w:val="30"/>
    </w:rPr>
  </w:style>
  <w:style w:type="paragraph" w:customStyle="1" w:styleId="default0">
    <w:name w:val="default"/>
    <w:basedOn w:val="Normal"/>
    <w:uiPriority w:val="99"/>
    <w:rsid w:val="007A3341"/>
    <w:pPr>
      <w:autoSpaceDE w:val="0"/>
      <w:autoSpaceDN w:val="0"/>
      <w:spacing w:before="0" w:after="0" w:line="240" w:lineRule="auto"/>
      <w:jc w:val="left"/>
    </w:pPr>
    <w:rPr>
      <w:rFonts w:ascii="Times New Roman" w:hAnsi="Times New Roman"/>
      <w:color w:val="000000"/>
      <w:sz w:val="24"/>
      <w:szCs w:val="24"/>
    </w:rPr>
  </w:style>
  <w:style w:type="paragraph" w:customStyle="1" w:styleId="default00">
    <w:name w:val="default0"/>
    <w:basedOn w:val="Normal"/>
    <w:rsid w:val="007A3341"/>
    <w:pPr>
      <w:autoSpaceDE w:val="0"/>
      <w:autoSpaceDN w:val="0"/>
      <w:spacing w:before="0" w:after="0" w:line="240" w:lineRule="auto"/>
      <w:jc w:val="left"/>
    </w:pPr>
    <w:rPr>
      <w:rFonts w:ascii="Times New Roman" w:hAnsi="Times New Roman"/>
      <w:color w:val="000000"/>
      <w:sz w:val="24"/>
      <w:szCs w:val="24"/>
    </w:r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
    <w:basedOn w:val="DefaultParagraphFont"/>
    <w:uiPriority w:val="99"/>
    <w:rsid w:val="009556B3"/>
    <w:rPr>
      <w:vertAlign w:val="superscript"/>
    </w:rPr>
  </w:style>
  <w:style w:type="character" w:customStyle="1" w:styleId="CharChar4">
    <w:name w:val="Char Char4"/>
    <w:basedOn w:val="DefaultParagraphFont"/>
    <w:locked/>
    <w:rsid w:val="009556B3"/>
    <w:rPr>
      <w:sz w:val="18"/>
      <w:szCs w:val="24"/>
      <w:lang w:val="en-AU" w:eastAsia="en-AU" w:bidi="ar-SA"/>
    </w:rPr>
  </w:style>
  <w:style w:type="character" w:styleId="Emphasis">
    <w:name w:val="Emphasis"/>
    <w:basedOn w:val="DefaultParagraphFont"/>
    <w:uiPriority w:val="20"/>
    <w:qFormat/>
    <w:rsid w:val="001126FC"/>
    <w:rPr>
      <w:i/>
      <w:iCs/>
    </w:rPr>
  </w:style>
  <w:style w:type="paragraph" w:styleId="BodyText">
    <w:name w:val="Body Text"/>
    <w:basedOn w:val="Normal"/>
    <w:link w:val="BodyTextChar0"/>
    <w:rsid w:val="001126FC"/>
    <w:pPr>
      <w:spacing w:before="240" w:after="0" w:line="280" w:lineRule="atLeast"/>
    </w:pPr>
    <w:rPr>
      <w:rFonts w:ascii="Book Antiqua" w:hAnsi="Book Antiqua"/>
      <w:sz w:val="21"/>
      <w:szCs w:val="21"/>
    </w:rPr>
  </w:style>
  <w:style w:type="character" w:customStyle="1" w:styleId="BodyTextChar0">
    <w:name w:val="Body Text Char"/>
    <w:basedOn w:val="DefaultParagraphFont"/>
    <w:link w:val="BodyText"/>
    <w:locked/>
    <w:rsid w:val="001126FC"/>
    <w:rPr>
      <w:rFonts w:ascii="Book Antiqua" w:hAnsi="Book Antiqua"/>
      <w:sz w:val="21"/>
      <w:szCs w:val="21"/>
      <w:lang w:val="en-AU" w:eastAsia="en-AU" w:bidi="ar-SA"/>
    </w:rPr>
  </w:style>
  <w:style w:type="paragraph" w:customStyle="1" w:styleId="introduction1">
    <w:name w:val="introduction1"/>
    <w:basedOn w:val="Normal"/>
    <w:rsid w:val="0059702D"/>
    <w:pPr>
      <w:spacing w:before="195" w:after="100" w:afterAutospacing="1" w:line="240" w:lineRule="auto"/>
      <w:jc w:val="left"/>
    </w:pPr>
    <w:rPr>
      <w:rFonts w:ascii="Times New Roman" w:hAnsi="Times New Roman"/>
      <w:color w:val="000000"/>
      <w:sz w:val="24"/>
      <w:szCs w:val="24"/>
    </w:rPr>
  </w:style>
  <w:style w:type="character" w:customStyle="1" w:styleId="bodytextChar">
    <w:name w:val="body text Char"/>
    <w:basedOn w:val="DefaultParagraphFont"/>
    <w:link w:val="BodyText1"/>
    <w:rsid w:val="00772684"/>
    <w:rPr>
      <w:rFonts w:ascii="Arial" w:hAnsi="Arial"/>
      <w:sz w:val="24"/>
      <w:szCs w:val="24"/>
      <w:lang w:val="en-AU" w:eastAsia="en-AU" w:bidi="ar-SA"/>
    </w:rPr>
  </w:style>
  <w:style w:type="paragraph" w:customStyle="1" w:styleId="Boxcaption">
    <w:name w:val="Box caption"/>
    <w:basedOn w:val="Caption"/>
    <w:next w:val="BodyText"/>
    <w:rsid w:val="00F449A7"/>
    <w:pPr>
      <w:keepNext/>
      <w:tabs>
        <w:tab w:val="left" w:pos="1361"/>
      </w:tabs>
      <w:spacing w:before="300" w:after="60" w:line="280" w:lineRule="atLeast"/>
      <w:ind w:left="1361" w:hanging="1361"/>
      <w:jc w:val="left"/>
    </w:pPr>
    <w:rPr>
      <w:rFonts w:eastAsia="Calibri"/>
      <w:color w:val="213F7D"/>
      <w:szCs w:val="18"/>
      <w:lang w:eastAsia="en-US"/>
    </w:rPr>
  </w:style>
  <w:style w:type="paragraph" w:styleId="Caption">
    <w:name w:val="caption"/>
    <w:basedOn w:val="Normal"/>
    <w:next w:val="Normal"/>
    <w:uiPriority w:val="35"/>
    <w:qFormat/>
    <w:rsid w:val="00F449A7"/>
    <w:rPr>
      <w:b/>
      <w:bCs/>
    </w:rPr>
  </w:style>
  <w:style w:type="paragraph" w:customStyle="1" w:styleId="Blockquotation">
    <w:name w:val="Block quotation"/>
    <w:basedOn w:val="BodyText"/>
    <w:next w:val="BodyText"/>
    <w:rsid w:val="00F449A7"/>
    <w:pPr>
      <w:spacing w:before="180" w:after="180"/>
      <w:ind w:left="340"/>
      <w:jc w:val="left"/>
    </w:pPr>
    <w:rPr>
      <w:rFonts w:ascii="Times New Roman" w:eastAsia="Calibri" w:hAnsi="Times New Roman"/>
      <w:sz w:val="20"/>
      <w:szCs w:val="22"/>
      <w:lang w:eastAsia="en-US"/>
    </w:rPr>
  </w:style>
  <w:style w:type="paragraph" w:customStyle="1" w:styleId="Bodybullet-L1-2">
    <w:name w:val="Body bullet - L1-2"/>
    <w:basedOn w:val="BodyText"/>
    <w:rsid w:val="00F449A7"/>
    <w:pPr>
      <w:numPr>
        <w:numId w:val="4"/>
      </w:numPr>
      <w:tabs>
        <w:tab w:val="clear" w:pos="340"/>
        <w:tab w:val="num" w:pos="284"/>
      </w:tabs>
      <w:spacing w:before="120" w:after="120"/>
      <w:ind w:left="284" w:hanging="284"/>
      <w:jc w:val="left"/>
    </w:pPr>
    <w:rPr>
      <w:rFonts w:ascii="Times New Roman" w:eastAsia="Calibri" w:hAnsi="Times New Roman"/>
      <w:sz w:val="22"/>
      <w:szCs w:val="24"/>
      <w:lang w:eastAsia="en-US"/>
    </w:rPr>
  </w:style>
  <w:style w:type="paragraph" w:customStyle="1" w:styleId="Boxtext">
    <w:name w:val="Box text"/>
    <w:basedOn w:val="BodyText"/>
    <w:rsid w:val="00F449A7"/>
    <w:pPr>
      <w:spacing w:before="180" w:after="120"/>
      <w:jc w:val="left"/>
    </w:pPr>
    <w:rPr>
      <w:rFonts w:ascii="Arial" w:eastAsia="Calibri" w:hAnsi="Arial"/>
      <w:sz w:val="20"/>
      <w:szCs w:val="24"/>
      <w:lang w:eastAsia="en-US"/>
    </w:rPr>
  </w:style>
  <w:style w:type="character" w:customStyle="1" w:styleId="FootnoteTextChar">
    <w:name w:val="Footnote Text Char"/>
    <w:aliases w:val="ALTS FOOTNOTE Char1 Char,Footnote Text Char1 Char Char,Footnote Text Char Char Char Char,Footnote Text Char Char1 Char,Footnote Text Char1 Char Char Char,Footnote Text Char Char Char Char Char"/>
    <w:basedOn w:val="DefaultParagraphFont"/>
    <w:uiPriority w:val="99"/>
    <w:locked/>
    <w:rsid w:val="00F449A7"/>
    <w:rPr>
      <w:rFonts w:ascii="Arial" w:hAnsi="Arial" w:cs="Times New Roman"/>
      <w:sz w:val="16"/>
    </w:rPr>
  </w:style>
  <w:style w:type="paragraph" w:customStyle="1" w:styleId="BoxTablenumberedlist-L1-2">
    <w:name w:val="Box/Table numbered list - L1-2"/>
    <w:basedOn w:val="Boxtext"/>
    <w:rsid w:val="00F449A7"/>
    <w:pPr>
      <w:numPr>
        <w:numId w:val="5"/>
      </w:numPr>
      <w:spacing w:before="60"/>
    </w:pPr>
  </w:style>
  <w:style w:type="paragraph" w:customStyle="1" w:styleId="Titleofbrief">
    <w:name w:val="Title of brief"/>
    <w:basedOn w:val="Heading1"/>
    <w:next w:val="Normal"/>
    <w:rsid w:val="00F449A7"/>
    <w:pPr>
      <w:pageBreakBefore/>
      <w:tabs>
        <w:tab w:val="clear" w:pos="709"/>
      </w:tabs>
      <w:spacing w:after="180" w:line="320" w:lineRule="atLeast"/>
      <w:jc w:val="center"/>
    </w:pPr>
    <w:rPr>
      <w:rFonts w:ascii="Times New Roman" w:eastAsia="Calibri" w:hAnsi="Times New Roman" w:cs="Arial"/>
      <w:b w:val="0"/>
      <w:bCs/>
      <w:color w:val="213F7D"/>
      <w:kern w:val="32"/>
      <w:sz w:val="32"/>
      <w:szCs w:val="32"/>
      <w:lang w:eastAsia="en-US"/>
    </w:rPr>
  </w:style>
  <w:style w:type="character" w:customStyle="1" w:styleId="listingitemdate">
    <w:name w:val="listingitemdate"/>
    <w:basedOn w:val="DefaultParagraphFont"/>
    <w:rsid w:val="00E9207E"/>
  </w:style>
  <w:style w:type="character" w:customStyle="1" w:styleId="listingitemdesc">
    <w:name w:val="listingitemdesc"/>
    <w:basedOn w:val="DefaultParagraphFont"/>
    <w:rsid w:val="00E9207E"/>
  </w:style>
  <w:style w:type="character" w:customStyle="1" w:styleId="detail">
    <w:name w:val="detail"/>
    <w:basedOn w:val="DefaultParagraphFont"/>
    <w:rsid w:val="00E9207E"/>
  </w:style>
  <w:style w:type="paragraph" w:customStyle="1" w:styleId="BoxListBullet">
    <w:name w:val="Box List Bullet"/>
    <w:basedOn w:val="BodyText"/>
    <w:rsid w:val="00D7632E"/>
    <w:pPr>
      <w:keepNext/>
      <w:numPr>
        <w:numId w:val="6"/>
      </w:numPr>
      <w:spacing w:before="120"/>
    </w:pPr>
    <w:rPr>
      <w:rFonts w:ascii="Arial" w:hAnsi="Arial"/>
      <w:sz w:val="22"/>
      <w:szCs w:val="20"/>
    </w:rPr>
  </w:style>
  <w:style w:type="paragraph" w:customStyle="1" w:styleId="Date1">
    <w:name w:val="Date1"/>
    <w:basedOn w:val="Normal"/>
    <w:rsid w:val="00047874"/>
    <w:pPr>
      <w:spacing w:before="100" w:beforeAutospacing="1" w:after="100" w:afterAutospacing="1" w:line="240" w:lineRule="auto"/>
      <w:jc w:val="left"/>
    </w:pPr>
    <w:rPr>
      <w:rFonts w:ascii="Times New Roman" w:hAnsi="Times New Roman"/>
      <w:sz w:val="24"/>
      <w:szCs w:val="24"/>
    </w:rPr>
  </w:style>
  <w:style w:type="character" w:customStyle="1" w:styleId="newsdate">
    <w:name w:val="newsdate"/>
    <w:basedOn w:val="DefaultParagraphFont"/>
    <w:rsid w:val="007E4A33"/>
  </w:style>
  <w:style w:type="paragraph" w:customStyle="1" w:styleId="section-links">
    <w:name w:val="section-links"/>
    <w:basedOn w:val="Normal"/>
    <w:rsid w:val="009A70DA"/>
    <w:pPr>
      <w:spacing w:before="100" w:beforeAutospacing="1" w:after="100" w:afterAutospacing="1" w:line="240" w:lineRule="auto"/>
      <w:jc w:val="left"/>
    </w:pPr>
    <w:rPr>
      <w:rFonts w:ascii="Times New Roman" w:hAnsi="Times New Roman"/>
      <w:sz w:val="24"/>
      <w:szCs w:val="24"/>
    </w:rPr>
  </w:style>
  <w:style w:type="character" w:customStyle="1" w:styleId="detaillabel">
    <w:name w:val="detaillabel"/>
    <w:basedOn w:val="DefaultParagraphFont"/>
    <w:rsid w:val="003D229E"/>
  </w:style>
  <w:style w:type="paragraph" w:styleId="Bibliography">
    <w:name w:val="Bibliography"/>
    <w:basedOn w:val="Normal"/>
    <w:rsid w:val="007E7C3B"/>
    <w:pPr>
      <w:spacing w:before="0" w:after="0"/>
      <w:ind w:left="720" w:hanging="720"/>
      <w:jc w:val="left"/>
    </w:pPr>
    <w:rPr>
      <w:rFonts w:ascii="Times New Roman" w:hAnsi="Times New Roman"/>
      <w:szCs w:val="24"/>
    </w:rPr>
  </w:style>
  <w:style w:type="paragraph" w:customStyle="1" w:styleId="Text">
    <w:name w:val="Text"/>
    <w:basedOn w:val="Normal"/>
    <w:rsid w:val="00A00E28"/>
    <w:pPr>
      <w:spacing w:after="0" w:line="300" w:lineRule="exact"/>
    </w:pPr>
    <w:rPr>
      <w:rFonts w:cs="Arial"/>
      <w:sz w:val="22"/>
      <w:szCs w:val="22"/>
    </w:rPr>
  </w:style>
  <w:style w:type="paragraph" w:customStyle="1" w:styleId="Subheading">
    <w:name w:val="Subheading"/>
    <w:basedOn w:val="Normal"/>
    <w:rsid w:val="00A00E28"/>
    <w:pPr>
      <w:spacing w:before="240" w:after="0" w:line="280" w:lineRule="exact"/>
    </w:pPr>
    <w:rPr>
      <w:rFonts w:cs="Arial"/>
      <w:b/>
      <w:color w:val="31849B"/>
      <w:sz w:val="23"/>
      <w:szCs w:val="23"/>
    </w:rPr>
  </w:style>
  <w:style w:type="paragraph" w:customStyle="1" w:styleId="acbullet">
    <w:name w:val="acbullet"/>
    <w:basedOn w:val="Normal"/>
    <w:rsid w:val="006044CE"/>
    <w:pPr>
      <w:numPr>
        <w:numId w:val="7"/>
      </w:numPr>
      <w:spacing w:before="0" w:after="0" w:line="240" w:lineRule="auto"/>
      <w:jc w:val="left"/>
    </w:pPr>
    <w:rPr>
      <w:rFonts w:ascii="Calibri" w:eastAsia="Calibri" w:hAnsi="Calibri"/>
      <w:sz w:val="22"/>
      <w:szCs w:val="22"/>
      <w:lang w:val="en-US" w:eastAsia="en-US"/>
    </w:rPr>
  </w:style>
  <w:style w:type="paragraph" w:customStyle="1" w:styleId="AERbodytext">
    <w:name w:val="AER body text"/>
    <w:link w:val="AERbodytextChar"/>
    <w:rsid w:val="008121EE"/>
    <w:pPr>
      <w:spacing w:before="240" w:after="240"/>
      <w:jc w:val="both"/>
    </w:pPr>
    <w:rPr>
      <w:sz w:val="24"/>
      <w:szCs w:val="24"/>
      <w:lang w:eastAsia="en-US"/>
    </w:rPr>
  </w:style>
  <w:style w:type="character" w:customStyle="1" w:styleId="AERbodytextChar">
    <w:name w:val="AER body text Char"/>
    <w:basedOn w:val="DefaultParagraphFont"/>
    <w:link w:val="AERbodytext"/>
    <w:rsid w:val="008121EE"/>
    <w:rPr>
      <w:sz w:val="24"/>
      <w:szCs w:val="24"/>
      <w:lang w:val="en-AU" w:eastAsia="en-US" w:bidi="ar-SA"/>
    </w:rPr>
  </w:style>
  <w:style w:type="paragraph" w:styleId="EndnoteText">
    <w:name w:val="endnote text"/>
    <w:basedOn w:val="Normal"/>
    <w:link w:val="EndnoteTextChar"/>
    <w:uiPriority w:val="99"/>
    <w:rsid w:val="0069566D"/>
  </w:style>
  <w:style w:type="character" w:styleId="EndnoteReference">
    <w:name w:val="endnote reference"/>
    <w:basedOn w:val="DefaultParagraphFont"/>
    <w:semiHidden/>
    <w:rsid w:val="0069566D"/>
    <w:rPr>
      <w:vertAlign w:val="superscript"/>
    </w:rPr>
  </w:style>
  <w:style w:type="paragraph" w:customStyle="1" w:styleId="Tabberschrift">
    <w:name w:val="Tab_Überschrift"/>
    <w:basedOn w:val="Normal"/>
    <w:next w:val="Normal"/>
    <w:rsid w:val="000A49DA"/>
    <w:pPr>
      <w:keepNext/>
      <w:spacing w:after="0" w:line="240" w:lineRule="auto"/>
      <w:ind w:left="1843" w:hanging="1843"/>
      <w:jc w:val="left"/>
    </w:pPr>
    <w:rPr>
      <w:rFonts w:ascii="Times New Roman" w:hAnsi="Times New Roman"/>
      <w:sz w:val="24"/>
      <w:szCs w:val="24"/>
    </w:rPr>
  </w:style>
  <w:style w:type="character" w:customStyle="1" w:styleId="doc">
    <w:name w:val="doc"/>
    <w:basedOn w:val="DefaultParagraphFont"/>
    <w:rsid w:val="006C48F4"/>
  </w:style>
  <w:style w:type="character" w:customStyle="1" w:styleId="GenevievePound">
    <w:name w:val="Genevieve Pound"/>
    <w:basedOn w:val="DefaultParagraphFont"/>
    <w:semiHidden/>
    <w:rsid w:val="006C48F4"/>
    <w:rPr>
      <w:rFonts w:ascii="Arial" w:hAnsi="Arial" w:cs="Arial"/>
      <w:color w:val="auto"/>
      <w:sz w:val="20"/>
      <w:szCs w:val="20"/>
    </w:rPr>
  </w:style>
  <w:style w:type="paragraph" w:styleId="PlainText">
    <w:name w:val="Plain Text"/>
    <w:basedOn w:val="Normal"/>
    <w:link w:val="PlainTextChar"/>
    <w:uiPriority w:val="99"/>
    <w:unhideWhenUsed/>
    <w:rsid w:val="00CA6BCD"/>
    <w:pPr>
      <w:spacing w:before="0" w:after="0"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A6BCD"/>
    <w:rPr>
      <w:rFonts w:ascii="Consolas" w:eastAsia="Calibri" w:hAnsi="Consolas" w:cs="Times New Roman"/>
      <w:sz w:val="21"/>
      <w:szCs w:val="21"/>
      <w:lang w:eastAsia="en-US"/>
    </w:rPr>
  </w:style>
  <w:style w:type="paragraph" w:styleId="List2">
    <w:name w:val="List 2"/>
    <w:basedOn w:val="Normal"/>
    <w:rsid w:val="009A4232"/>
    <w:pPr>
      <w:numPr>
        <w:ilvl w:val="1"/>
        <w:numId w:val="8"/>
      </w:numPr>
      <w:tabs>
        <w:tab w:val="clear" w:pos="1133"/>
        <w:tab w:val="num" w:pos="1492"/>
      </w:tabs>
      <w:spacing w:before="0" w:after="240" w:line="240" w:lineRule="auto"/>
      <w:ind w:left="1492" w:hanging="360"/>
    </w:pPr>
    <w:rPr>
      <w:rFonts w:ascii="Times New Roman" w:hAnsi="Times New Roman"/>
      <w:sz w:val="22"/>
      <w:lang w:eastAsia="en-US"/>
    </w:rPr>
  </w:style>
  <w:style w:type="paragraph" w:styleId="ListNumber">
    <w:name w:val="List Number"/>
    <w:basedOn w:val="Normal"/>
    <w:rsid w:val="009A4232"/>
    <w:pPr>
      <w:numPr>
        <w:numId w:val="8"/>
      </w:numPr>
      <w:spacing w:before="0" w:after="240" w:line="240" w:lineRule="auto"/>
    </w:pPr>
    <w:rPr>
      <w:rFonts w:ascii="Times New Roman" w:hAnsi="Times New Roman"/>
      <w:sz w:val="22"/>
      <w:lang w:eastAsia="en-US"/>
    </w:rPr>
  </w:style>
  <w:style w:type="paragraph" w:styleId="ListNumber3">
    <w:name w:val="List Number 3"/>
    <w:basedOn w:val="Normal"/>
    <w:rsid w:val="009A4232"/>
    <w:pPr>
      <w:numPr>
        <w:ilvl w:val="2"/>
        <w:numId w:val="8"/>
      </w:numPr>
      <w:spacing w:before="0" w:after="240" w:line="240" w:lineRule="auto"/>
      <w:ind w:hanging="567"/>
    </w:pPr>
    <w:rPr>
      <w:rFonts w:ascii="Times New Roman" w:hAnsi="Times New Roman"/>
      <w:sz w:val="22"/>
      <w:lang w:eastAsia="en-US"/>
    </w:rPr>
  </w:style>
  <w:style w:type="paragraph" w:customStyle="1" w:styleId="bullet">
    <w:name w:val="bullet"/>
    <w:basedOn w:val="BodyTextIndent"/>
    <w:semiHidden/>
    <w:rsid w:val="00DB07FB"/>
    <w:pPr>
      <w:numPr>
        <w:numId w:val="9"/>
      </w:numPr>
      <w:spacing w:before="0" w:after="240" w:line="240" w:lineRule="auto"/>
    </w:pPr>
    <w:rPr>
      <w:rFonts w:ascii="Times New Roman" w:hAnsi="Times New Roman"/>
      <w:sz w:val="22"/>
      <w:lang w:eastAsia="en-US"/>
    </w:rPr>
  </w:style>
  <w:style w:type="paragraph" w:customStyle="1" w:styleId="bullet2">
    <w:name w:val="bullet 2"/>
    <w:basedOn w:val="Normal"/>
    <w:semiHidden/>
    <w:rsid w:val="00DB07FB"/>
    <w:pPr>
      <w:numPr>
        <w:ilvl w:val="1"/>
        <w:numId w:val="9"/>
      </w:numPr>
      <w:spacing w:before="0" w:after="240" w:line="240" w:lineRule="auto"/>
    </w:pPr>
    <w:rPr>
      <w:rFonts w:ascii="Times New Roman" w:hAnsi="Times New Roman"/>
      <w:sz w:val="22"/>
      <w:lang w:eastAsia="en-US"/>
    </w:rPr>
  </w:style>
  <w:style w:type="paragraph" w:styleId="BodyTextIndent">
    <w:name w:val="Body Text Indent"/>
    <w:basedOn w:val="Normal"/>
    <w:link w:val="BodyTextIndentChar"/>
    <w:rsid w:val="00DB07FB"/>
    <w:pPr>
      <w:ind w:left="283"/>
    </w:pPr>
  </w:style>
  <w:style w:type="character" w:customStyle="1" w:styleId="BodyTextIndentChar">
    <w:name w:val="Body Text Indent Char"/>
    <w:basedOn w:val="DefaultParagraphFont"/>
    <w:link w:val="BodyTextIndent"/>
    <w:rsid w:val="00DB07FB"/>
    <w:rPr>
      <w:rFonts w:ascii="Arial" w:hAnsi="Arial"/>
    </w:rPr>
  </w:style>
  <w:style w:type="paragraph" w:customStyle="1" w:styleId="Quotation">
    <w:name w:val="Quotation"/>
    <w:basedOn w:val="BodyTextIndent"/>
    <w:next w:val="BodyTextIndent"/>
    <w:rsid w:val="00D84508"/>
    <w:pPr>
      <w:spacing w:before="0" w:after="240" w:line="240" w:lineRule="auto"/>
      <w:ind w:left="1134" w:right="567"/>
    </w:pPr>
    <w:rPr>
      <w:rFonts w:ascii="Times New Roman" w:hAnsi="Times New Roman"/>
      <w:i/>
      <w:sz w:val="18"/>
      <w:lang w:eastAsia="en-US"/>
    </w:rPr>
  </w:style>
  <w:style w:type="paragraph" w:customStyle="1" w:styleId="ungerKopfzeile">
    <w:name w:val="unger. Kopfzeile"/>
    <w:basedOn w:val="Normal"/>
    <w:rsid w:val="00302595"/>
    <w:pPr>
      <w:tabs>
        <w:tab w:val="center" w:pos="4253"/>
        <w:tab w:val="right" w:pos="8505"/>
      </w:tabs>
      <w:spacing w:before="0" w:after="480" w:line="240" w:lineRule="auto"/>
      <w:jc w:val="left"/>
    </w:pPr>
    <w:rPr>
      <w:rFonts w:ascii="Times New Roman" w:hAnsi="Times New Roman"/>
      <w:sz w:val="24"/>
      <w:szCs w:val="24"/>
    </w:rPr>
  </w:style>
  <w:style w:type="character" w:customStyle="1" w:styleId="category-electricity1">
    <w:name w:val="category-electricity1"/>
    <w:basedOn w:val="DefaultParagraphFont"/>
    <w:rsid w:val="007F45F0"/>
    <w:rPr>
      <w:b w:val="0"/>
      <w:bCs w:val="0"/>
      <w:vanish w:val="0"/>
      <w:webHidden w:val="0"/>
      <w:color w:val="E9B100"/>
      <w:specVanish w:val="0"/>
    </w:rPr>
  </w:style>
  <w:style w:type="paragraph" w:customStyle="1" w:styleId="004a153a">
    <w:name w:val="004a153a"/>
    <w:basedOn w:val="Normal"/>
    <w:rsid w:val="00070A0D"/>
    <w:pPr>
      <w:spacing w:before="0" w:after="300" w:line="240" w:lineRule="auto"/>
      <w:jc w:val="left"/>
    </w:pPr>
    <w:rPr>
      <w:rFonts w:cs="Arial"/>
      <w:sz w:val="24"/>
      <w:szCs w:val="24"/>
    </w:rPr>
  </w:style>
  <w:style w:type="paragraph" w:customStyle="1" w:styleId="StyleGray-65LinespacingsinglePatternClearWhite">
    <w:name w:val="Style Gray-65% Line spacing:  single Pattern: Clear (White)"/>
    <w:basedOn w:val="Normal"/>
    <w:qFormat/>
    <w:rsid w:val="001F7037"/>
    <w:pPr>
      <w:shd w:val="clear" w:color="auto" w:fill="FFFFFF"/>
      <w:spacing w:line="240" w:lineRule="auto"/>
    </w:pPr>
    <w:rPr>
      <w:color w:val="595959"/>
    </w:rPr>
  </w:style>
  <w:style w:type="character" w:customStyle="1" w:styleId="Network-bodytext">
    <w:name w:val="Network - body text"/>
    <w:basedOn w:val="DefaultParagraphFont"/>
    <w:qFormat/>
    <w:rsid w:val="00E90177"/>
    <w:rPr>
      <w:rFonts w:ascii="Arial" w:hAnsi="Arial"/>
      <w:color w:val="595959"/>
      <w:spacing w:val="0"/>
      <w:kern w:val="36"/>
      <w:sz w:val="20"/>
    </w:rPr>
  </w:style>
  <w:style w:type="paragraph" w:customStyle="1" w:styleId="Networknewsheading">
    <w:name w:val="Network news heading"/>
    <w:basedOn w:val="Heading2"/>
    <w:qFormat/>
    <w:rsid w:val="002F65C4"/>
    <w:pPr>
      <w:keepNext w:val="0"/>
      <w:keepLines w:val="0"/>
      <w:spacing w:beforeAutospacing="1" w:afterAutospacing="1" w:line="240" w:lineRule="auto"/>
      <w:jc w:val="both"/>
    </w:pPr>
    <w:rPr>
      <w:bCs/>
      <w:color w:val="31849B"/>
      <w:sz w:val="22"/>
    </w:rPr>
  </w:style>
  <w:style w:type="character" w:customStyle="1" w:styleId="StyleLatinArialGray-65">
    <w:name w:val="Style (Latin) Arial Gray-65%"/>
    <w:qFormat/>
    <w:rsid w:val="00C8324D"/>
    <w:rPr>
      <w:rFonts w:ascii="Arial" w:hAnsi="Arial"/>
      <w:color w:val="595959"/>
      <w:sz w:val="20"/>
    </w:rPr>
  </w:style>
  <w:style w:type="paragraph" w:styleId="BodyText2">
    <w:name w:val="Body Text 2"/>
    <w:basedOn w:val="Normal"/>
    <w:link w:val="BodyText2Char"/>
    <w:unhideWhenUsed/>
    <w:rsid w:val="008519F6"/>
    <w:pPr>
      <w:spacing w:line="480" w:lineRule="auto"/>
    </w:pPr>
    <w:rPr>
      <w:rFonts w:ascii="Times New Roman" w:eastAsia="MS Mincho" w:hAnsi="Times New Roman"/>
    </w:rPr>
  </w:style>
  <w:style w:type="character" w:customStyle="1" w:styleId="BodyText2Char">
    <w:name w:val="Body Text 2 Char"/>
    <w:basedOn w:val="DefaultParagraphFont"/>
    <w:link w:val="BodyText2"/>
    <w:rsid w:val="008519F6"/>
    <w:rPr>
      <w:rFonts w:eastAsia="MS Mincho"/>
    </w:rPr>
  </w:style>
  <w:style w:type="paragraph" w:styleId="CommentText">
    <w:name w:val="annotation text"/>
    <w:basedOn w:val="Normal"/>
    <w:link w:val="CommentTextChar"/>
    <w:uiPriority w:val="99"/>
    <w:unhideWhenUsed/>
    <w:rsid w:val="008519F6"/>
    <w:rPr>
      <w:lang w:val="en-US" w:eastAsia="en-US"/>
    </w:rPr>
  </w:style>
  <w:style w:type="character" w:customStyle="1" w:styleId="CommentTextChar">
    <w:name w:val="Comment Text Char"/>
    <w:basedOn w:val="DefaultParagraphFont"/>
    <w:link w:val="CommentText"/>
    <w:uiPriority w:val="99"/>
    <w:rsid w:val="008519F6"/>
    <w:rPr>
      <w:rFonts w:ascii="Arial" w:hAnsi="Arial"/>
      <w:lang w:val="en-US" w:eastAsia="en-US"/>
    </w:rPr>
  </w:style>
  <w:style w:type="paragraph" w:styleId="CommentSubject">
    <w:name w:val="annotation subject"/>
    <w:basedOn w:val="CommentText"/>
    <w:next w:val="CommentText"/>
    <w:link w:val="CommentSubjectChar"/>
    <w:uiPriority w:val="99"/>
    <w:unhideWhenUsed/>
    <w:rsid w:val="008519F6"/>
    <w:rPr>
      <w:b/>
      <w:bCs/>
    </w:rPr>
  </w:style>
  <w:style w:type="character" w:customStyle="1" w:styleId="CommentSubjectChar">
    <w:name w:val="Comment Subject Char"/>
    <w:basedOn w:val="CommentTextChar"/>
    <w:link w:val="CommentSubject"/>
    <w:uiPriority w:val="99"/>
    <w:rsid w:val="008519F6"/>
    <w:rPr>
      <w:rFonts w:ascii="Arial" w:hAnsi="Arial"/>
      <w:b/>
      <w:bCs/>
      <w:lang w:val="en-US" w:eastAsia="en-US"/>
    </w:rPr>
  </w:style>
  <w:style w:type="paragraph" w:styleId="Revision">
    <w:name w:val="Revision"/>
    <w:hidden/>
    <w:uiPriority w:val="99"/>
    <w:semiHidden/>
    <w:rsid w:val="008519F6"/>
    <w:rPr>
      <w:lang w:val="en-US" w:eastAsia="en-US"/>
    </w:rPr>
  </w:style>
  <w:style w:type="character" w:customStyle="1" w:styleId="BalloonTextChar">
    <w:name w:val="Balloon Text Char"/>
    <w:link w:val="BalloonText"/>
    <w:uiPriority w:val="99"/>
    <w:semiHidden/>
    <w:rsid w:val="008519F6"/>
    <w:rPr>
      <w:rFonts w:ascii="Tahoma" w:hAnsi="Tahoma" w:cs="Tahoma"/>
      <w:sz w:val="16"/>
      <w:szCs w:val="16"/>
    </w:rPr>
  </w:style>
  <w:style w:type="character" w:customStyle="1" w:styleId="EndnoteTextChar">
    <w:name w:val="Endnote Text Char"/>
    <w:link w:val="EndnoteText"/>
    <w:uiPriority w:val="99"/>
    <w:rsid w:val="008519F6"/>
    <w:rPr>
      <w:rFonts w:ascii="Arial" w:hAnsi="Arial"/>
    </w:rPr>
  </w:style>
  <w:style w:type="character" w:customStyle="1" w:styleId="Heading2Char">
    <w:name w:val="Heading 2 Char"/>
    <w:link w:val="Heading2"/>
    <w:rsid w:val="008519F6"/>
    <w:rPr>
      <w:rFonts w:ascii="Arial" w:hAnsi="Arial"/>
      <w:b/>
      <w:color w:val="333399"/>
      <w:sz w:val="28"/>
    </w:rPr>
  </w:style>
  <w:style w:type="character" w:customStyle="1" w:styleId="Heading1Char">
    <w:name w:val="Heading 1 Char"/>
    <w:link w:val="Heading1"/>
    <w:rsid w:val="008519F6"/>
    <w:rPr>
      <w:rFonts w:ascii="Arial" w:hAnsi="Arial"/>
      <w:b/>
      <w:color w:val="333399"/>
      <w:sz w:val="36"/>
    </w:rPr>
  </w:style>
  <w:style w:type="character" w:customStyle="1" w:styleId="Heading4Char">
    <w:name w:val="Heading 4 Char"/>
    <w:link w:val="Heading4"/>
    <w:rsid w:val="008519F6"/>
    <w:rPr>
      <w:rFonts w:ascii="Arial" w:hAnsi="Arial"/>
      <w:b/>
      <w:sz w:val="22"/>
    </w:rPr>
  </w:style>
  <w:style w:type="character" w:customStyle="1" w:styleId="Heading5Char">
    <w:name w:val="Heading 5 Char"/>
    <w:link w:val="Heading5"/>
    <w:rsid w:val="008519F6"/>
    <w:rPr>
      <w:rFonts w:ascii="Arial" w:hAnsi="Arial"/>
      <w:i/>
      <w:sz w:val="22"/>
    </w:rPr>
  </w:style>
  <w:style w:type="character" w:customStyle="1" w:styleId="Heading6Char">
    <w:name w:val="Heading 6 Char"/>
    <w:link w:val="Heading6"/>
    <w:rsid w:val="008519F6"/>
    <w:rPr>
      <w:rFonts w:eastAsia="Calibri"/>
      <w:b/>
      <w:bCs/>
      <w:sz w:val="22"/>
      <w:szCs w:val="22"/>
      <w:lang w:eastAsia="en-US"/>
    </w:rPr>
  </w:style>
  <w:style w:type="character" w:customStyle="1" w:styleId="Heading7Char">
    <w:name w:val="Heading 7 Char"/>
    <w:link w:val="Heading7"/>
    <w:rsid w:val="008519F6"/>
    <w:rPr>
      <w:rFonts w:eastAsia="Calibri"/>
      <w:sz w:val="24"/>
      <w:szCs w:val="24"/>
      <w:lang w:eastAsia="en-US"/>
    </w:rPr>
  </w:style>
  <w:style w:type="character" w:customStyle="1" w:styleId="Heading8Char">
    <w:name w:val="Heading 8 Char"/>
    <w:link w:val="Heading8"/>
    <w:rsid w:val="008519F6"/>
    <w:rPr>
      <w:rFonts w:eastAsia="Calibri"/>
      <w:i/>
      <w:iCs/>
      <w:sz w:val="24"/>
      <w:szCs w:val="24"/>
      <w:lang w:eastAsia="en-US"/>
    </w:rPr>
  </w:style>
  <w:style w:type="character" w:customStyle="1" w:styleId="Heading9Char">
    <w:name w:val="Heading 9 Char"/>
    <w:link w:val="Heading9"/>
    <w:rsid w:val="008519F6"/>
    <w:rPr>
      <w:rFonts w:ascii="Arial" w:eastAsia="Calibri" w:hAnsi="Arial" w:cs="Arial"/>
      <w:sz w:val="22"/>
      <w:szCs w:val="22"/>
      <w:lang w:eastAsia="en-US"/>
    </w:rPr>
  </w:style>
  <w:style w:type="paragraph" w:customStyle="1" w:styleId="NetworkFooter0">
    <w:name w:val="Network Footer"/>
    <w:basedOn w:val="FootnoteText"/>
    <w:link w:val="NetworkFooterChar"/>
    <w:qFormat/>
    <w:rsid w:val="008519F6"/>
    <w:rPr>
      <w:rFonts w:cs="Arial"/>
      <w:sz w:val="16"/>
      <w:szCs w:val="16"/>
      <w:lang w:val="en-US" w:eastAsia="en-US"/>
    </w:rPr>
  </w:style>
  <w:style w:type="paragraph" w:customStyle="1" w:styleId="Networkfooter">
    <w:name w:val="Network footer"/>
    <w:basedOn w:val="NetworkFooter0"/>
    <w:link w:val="NetworkfooterChar0"/>
    <w:qFormat/>
    <w:rsid w:val="008519F6"/>
    <w:rPr>
      <w:color w:val="595959"/>
    </w:rPr>
  </w:style>
  <w:style w:type="character" w:customStyle="1" w:styleId="NetworkFooterChar">
    <w:name w:val="Network Footer Char"/>
    <w:link w:val="NetworkFooter0"/>
    <w:rsid w:val="008519F6"/>
    <w:rPr>
      <w:rFonts w:ascii="Arial" w:hAnsi="Arial" w:cs="Arial"/>
      <w:sz w:val="16"/>
      <w:szCs w:val="16"/>
      <w:lang w:val="en-US" w:eastAsia="en-US"/>
    </w:rPr>
  </w:style>
  <w:style w:type="character" w:customStyle="1" w:styleId="NetworkfooterChar0">
    <w:name w:val="Network footer Char"/>
    <w:link w:val="Networkfooter"/>
    <w:rsid w:val="008519F6"/>
    <w:rPr>
      <w:rFonts w:ascii="Arial" w:hAnsi="Arial" w:cs="Arial"/>
      <w:color w:val="595959"/>
      <w:sz w:val="16"/>
      <w:szCs w:val="16"/>
      <w:lang w:val="en-US" w:eastAsia="en-US"/>
    </w:rPr>
  </w:style>
  <w:style w:type="paragraph" w:customStyle="1" w:styleId="Date2">
    <w:name w:val="Date2"/>
    <w:basedOn w:val="Normal"/>
    <w:rsid w:val="00662004"/>
    <w:pPr>
      <w:spacing w:before="100" w:beforeAutospacing="1" w:after="100" w:afterAutospacing="1" w:line="240" w:lineRule="auto"/>
      <w:jc w:val="left"/>
    </w:pPr>
    <w:rPr>
      <w:rFonts w:ascii="Times New Roman" w:eastAsia="Calibri" w:hAnsi="Times New Roman"/>
      <w:sz w:val="24"/>
      <w:szCs w:val="24"/>
    </w:rPr>
  </w:style>
  <w:style w:type="paragraph" w:customStyle="1" w:styleId="ms-rteelement-p1">
    <w:name w:val="ms-rteelement-p1"/>
    <w:basedOn w:val="Normal"/>
    <w:rsid w:val="00DA0C1D"/>
    <w:pPr>
      <w:spacing w:before="0" w:after="270" w:line="336" w:lineRule="atLeast"/>
      <w:jc w:val="left"/>
    </w:pPr>
    <w:rPr>
      <w:rFonts w:ascii="Times New Roman" w:hAnsi="Times New Roman"/>
      <w:color w:val="576170"/>
      <w:sz w:val="29"/>
      <w:szCs w:val="29"/>
    </w:rPr>
  </w:style>
  <w:style w:type="character" w:customStyle="1" w:styleId="category-electricity2">
    <w:name w:val="category-electricity2"/>
    <w:rsid w:val="00372EA0"/>
    <w:rPr>
      <w:b w:val="0"/>
      <w:bCs w:val="0"/>
      <w:vanish w:val="0"/>
      <w:webHidden w:val="0"/>
      <w:color w:val="E9B100"/>
      <w:specVanish w:val="0"/>
    </w:rPr>
  </w:style>
  <w:style w:type="paragraph" w:customStyle="1" w:styleId="Date3">
    <w:name w:val="Date3"/>
    <w:basedOn w:val="Normal"/>
    <w:rsid w:val="004D08B3"/>
    <w:pPr>
      <w:spacing w:before="100" w:beforeAutospacing="1" w:after="100" w:afterAutospacing="1" w:line="240" w:lineRule="auto"/>
      <w:jc w:val="left"/>
    </w:pPr>
    <w:rPr>
      <w:rFonts w:ascii="Times New Roman" w:eastAsia="Calibri" w:hAnsi="Times New Roman" w:cs="Calibri"/>
      <w:sz w:val="24"/>
      <w:szCs w:val="24"/>
    </w:rPr>
  </w:style>
  <w:style w:type="character" w:customStyle="1" w:styleId="Italic">
    <w:name w:val="Italic"/>
    <w:uiPriority w:val="8"/>
    <w:qFormat/>
    <w:rsid w:val="00FC1051"/>
    <w:rPr>
      <w:i/>
    </w:rPr>
  </w:style>
  <w:style w:type="paragraph" w:customStyle="1" w:styleId="IntroductionIndent">
    <w:name w:val="Introduction Indent"/>
    <w:basedOn w:val="Normal"/>
    <w:uiPriority w:val="4"/>
    <w:qFormat/>
    <w:rsid w:val="00FC1051"/>
    <w:pPr>
      <w:spacing w:line="264" w:lineRule="auto"/>
      <w:ind w:left="851"/>
    </w:pPr>
    <w:rPr>
      <w:rFonts w:ascii="Calibri" w:hAnsi="Calibri"/>
      <w:i/>
      <w:sz w:val="21"/>
      <w:lang w:eastAsia="en-US"/>
    </w:rPr>
  </w:style>
  <w:style w:type="paragraph" w:customStyle="1" w:styleId="Boxedtext">
    <w:name w:val="Boxed text"/>
    <w:basedOn w:val="Normal"/>
    <w:link w:val="BoxedtextChar"/>
    <w:qFormat/>
    <w:rsid w:val="00283099"/>
    <w:pPr>
      <w:pBdr>
        <w:top w:val="single" w:sz="4" w:space="4" w:color="auto"/>
        <w:left w:val="single" w:sz="4" w:space="4" w:color="auto"/>
        <w:bottom w:val="single" w:sz="4" w:space="4" w:color="auto"/>
        <w:right w:val="single" w:sz="4" w:space="4" w:color="auto"/>
      </w:pBdr>
      <w:spacing w:after="0" w:line="240" w:lineRule="auto"/>
      <w:contextualSpacing/>
      <w:jc w:val="left"/>
    </w:pPr>
    <w:rPr>
      <w:rFonts w:eastAsia="Calibri"/>
      <w:lang w:eastAsia="en-US"/>
    </w:rPr>
  </w:style>
  <w:style w:type="character" w:customStyle="1" w:styleId="BoxedtextChar">
    <w:name w:val="Boxed text Char"/>
    <w:link w:val="Boxedtext"/>
    <w:rsid w:val="00283099"/>
    <w:rPr>
      <w:rFonts w:ascii="Arial" w:eastAsia="Calibri" w:hAnsi="Arial"/>
      <w:lang w:eastAsia="en-US"/>
    </w:rPr>
  </w:style>
  <w:style w:type="character" w:customStyle="1" w:styleId="apple-converted-space">
    <w:name w:val="apple-converted-space"/>
    <w:rsid w:val="001769B5"/>
  </w:style>
  <w:style w:type="paragraph" w:customStyle="1" w:styleId="gmaildefault">
    <w:name w:val="gmail_default"/>
    <w:basedOn w:val="Normal"/>
    <w:rsid w:val="009665A2"/>
    <w:pPr>
      <w:spacing w:before="100" w:beforeAutospacing="1" w:after="100" w:afterAutospacing="1" w:line="240" w:lineRule="auto"/>
      <w:jc w:val="left"/>
    </w:pPr>
    <w:rPr>
      <w:rFonts w:ascii="Times New Roman" w:hAnsi="Times New Roman"/>
      <w:sz w:val="24"/>
      <w:szCs w:val="24"/>
      <w:lang w:val="it-IT" w:eastAsia="it-IT"/>
    </w:rPr>
  </w:style>
  <w:style w:type="paragraph" w:customStyle="1" w:styleId="Corpo">
    <w:name w:val="Corpo"/>
    <w:rsid w:val="009665A2"/>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eastAsia="it-IT"/>
    </w:rPr>
  </w:style>
  <w:style w:type="table" w:customStyle="1" w:styleId="StileLaura">
    <w:name w:val="Stile Laura"/>
    <w:basedOn w:val="TableNormal"/>
    <w:uiPriority w:val="99"/>
    <w:rsid w:val="000E1B05"/>
    <w:rPr>
      <w:rFonts w:ascii="Times" w:hAnsi="Times"/>
      <w:sz w:val="22"/>
      <w:szCs w:val="24"/>
      <w:lang w:val="it-IT" w:eastAsia="it-IT"/>
    </w:rPr>
    <w:tblPr>
      <w:tblStyleRowBandSize w:val="1"/>
    </w:tblPr>
    <w:tblStylePr w:type="firstRow">
      <w:rPr>
        <w:rFonts w:ascii="Times" w:hAnsi="Times"/>
        <w:b/>
        <w:color w:val="FFFFFF"/>
        <w:sz w:val="22"/>
      </w:rPr>
      <w:tblPr/>
      <w:tcPr>
        <w:shd w:val="clear" w:color="auto" w:fill="7B9DC6"/>
      </w:tcPr>
    </w:tblStylePr>
    <w:tblStylePr w:type="firstCol">
      <w:rPr>
        <w:b/>
      </w:rPr>
      <w:tblPr/>
      <w:tcPr>
        <w:shd w:val="clear" w:color="auto" w:fill="DADFE4"/>
      </w:tcPr>
    </w:tblStylePr>
    <w:tblStylePr w:type="band2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129">
      <w:bodyDiv w:val="1"/>
      <w:marLeft w:val="0"/>
      <w:marRight w:val="0"/>
      <w:marTop w:val="0"/>
      <w:marBottom w:val="0"/>
      <w:divBdr>
        <w:top w:val="none" w:sz="0" w:space="0" w:color="auto"/>
        <w:left w:val="none" w:sz="0" w:space="0" w:color="auto"/>
        <w:bottom w:val="none" w:sz="0" w:space="0" w:color="auto"/>
        <w:right w:val="none" w:sz="0" w:space="0" w:color="auto"/>
      </w:divBdr>
    </w:div>
    <w:div w:id="36123018">
      <w:bodyDiv w:val="1"/>
      <w:marLeft w:val="0"/>
      <w:marRight w:val="0"/>
      <w:marTop w:val="0"/>
      <w:marBottom w:val="0"/>
      <w:divBdr>
        <w:top w:val="none" w:sz="0" w:space="0" w:color="auto"/>
        <w:left w:val="none" w:sz="0" w:space="0" w:color="auto"/>
        <w:bottom w:val="none" w:sz="0" w:space="0" w:color="auto"/>
        <w:right w:val="none" w:sz="0" w:space="0" w:color="auto"/>
      </w:divBdr>
    </w:div>
    <w:div w:id="46731353">
      <w:bodyDiv w:val="1"/>
      <w:marLeft w:val="0"/>
      <w:marRight w:val="0"/>
      <w:marTop w:val="0"/>
      <w:marBottom w:val="0"/>
      <w:divBdr>
        <w:top w:val="none" w:sz="0" w:space="0" w:color="auto"/>
        <w:left w:val="none" w:sz="0" w:space="0" w:color="auto"/>
        <w:bottom w:val="none" w:sz="0" w:space="0" w:color="auto"/>
        <w:right w:val="none" w:sz="0" w:space="0" w:color="auto"/>
      </w:divBdr>
      <w:divsChild>
        <w:div w:id="1007170086">
          <w:marLeft w:val="0"/>
          <w:marRight w:val="0"/>
          <w:marTop w:val="0"/>
          <w:marBottom w:val="0"/>
          <w:divBdr>
            <w:top w:val="none" w:sz="0" w:space="0" w:color="auto"/>
            <w:left w:val="none" w:sz="0" w:space="0" w:color="auto"/>
            <w:bottom w:val="none" w:sz="0" w:space="0" w:color="auto"/>
            <w:right w:val="none" w:sz="0" w:space="0" w:color="auto"/>
          </w:divBdr>
          <w:divsChild>
            <w:div w:id="767392158">
              <w:marLeft w:val="0"/>
              <w:marRight w:val="0"/>
              <w:marTop w:val="0"/>
              <w:marBottom w:val="0"/>
              <w:divBdr>
                <w:top w:val="none" w:sz="0" w:space="0" w:color="auto"/>
                <w:left w:val="none" w:sz="0" w:space="0" w:color="auto"/>
                <w:bottom w:val="none" w:sz="0" w:space="0" w:color="auto"/>
                <w:right w:val="none" w:sz="0" w:space="0" w:color="auto"/>
              </w:divBdr>
              <w:divsChild>
                <w:div w:id="663362079">
                  <w:marLeft w:val="0"/>
                  <w:marRight w:val="0"/>
                  <w:marTop w:val="0"/>
                  <w:marBottom w:val="0"/>
                  <w:divBdr>
                    <w:top w:val="none" w:sz="0" w:space="0" w:color="auto"/>
                    <w:left w:val="none" w:sz="0" w:space="0" w:color="auto"/>
                    <w:bottom w:val="none" w:sz="0" w:space="0" w:color="auto"/>
                    <w:right w:val="none" w:sz="0" w:space="0" w:color="auto"/>
                  </w:divBdr>
                  <w:divsChild>
                    <w:div w:id="1361513610">
                      <w:marLeft w:val="0"/>
                      <w:marRight w:val="0"/>
                      <w:marTop w:val="0"/>
                      <w:marBottom w:val="0"/>
                      <w:divBdr>
                        <w:top w:val="none" w:sz="0" w:space="0" w:color="auto"/>
                        <w:left w:val="none" w:sz="0" w:space="0" w:color="auto"/>
                        <w:bottom w:val="none" w:sz="0" w:space="0" w:color="auto"/>
                        <w:right w:val="none" w:sz="0" w:space="0" w:color="auto"/>
                      </w:divBdr>
                      <w:divsChild>
                        <w:div w:id="1799299136">
                          <w:marLeft w:val="0"/>
                          <w:marRight w:val="0"/>
                          <w:marTop w:val="0"/>
                          <w:marBottom w:val="0"/>
                          <w:divBdr>
                            <w:top w:val="none" w:sz="0" w:space="0" w:color="auto"/>
                            <w:left w:val="none" w:sz="0" w:space="0" w:color="auto"/>
                            <w:bottom w:val="none" w:sz="0" w:space="0" w:color="auto"/>
                            <w:right w:val="none" w:sz="0" w:space="0" w:color="auto"/>
                          </w:divBdr>
                          <w:divsChild>
                            <w:div w:id="345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0226">
      <w:bodyDiv w:val="1"/>
      <w:marLeft w:val="0"/>
      <w:marRight w:val="0"/>
      <w:marTop w:val="0"/>
      <w:marBottom w:val="0"/>
      <w:divBdr>
        <w:top w:val="none" w:sz="0" w:space="0" w:color="auto"/>
        <w:left w:val="none" w:sz="0" w:space="0" w:color="auto"/>
        <w:bottom w:val="none" w:sz="0" w:space="0" w:color="auto"/>
        <w:right w:val="none" w:sz="0" w:space="0" w:color="auto"/>
      </w:divBdr>
      <w:divsChild>
        <w:div w:id="1487355595">
          <w:marLeft w:val="0"/>
          <w:marRight w:val="0"/>
          <w:marTop w:val="0"/>
          <w:marBottom w:val="0"/>
          <w:divBdr>
            <w:top w:val="none" w:sz="0" w:space="0" w:color="auto"/>
            <w:left w:val="none" w:sz="0" w:space="0" w:color="auto"/>
            <w:bottom w:val="none" w:sz="0" w:space="0" w:color="auto"/>
            <w:right w:val="none" w:sz="0" w:space="0" w:color="auto"/>
          </w:divBdr>
          <w:divsChild>
            <w:div w:id="1939831849">
              <w:marLeft w:val="0"/>
              <w:marRight w:val="0"/>
              <w:marTop w:val="0"/>
              <w:marBottom w:val="0"/>
              <w:divBdr>
                <w:top w:val="none" w:sz="0" w:space="0" w:color="auto"/>
                <w:left w:val="none" w:sz="0" w:space="0" w:color="auto"/>
                <w:bottom w:val="none" w:sz="0" w:space="0" w:color="auto"/>
                <w:right w:val="none" w:sz="0" w:space="0" w:color="auto"/>
              </w:divBdr>
              <w:divsChild>
                <w:div w:id="1497842666">
                  <w:marLeft w:val="0"/>
                  <w:marRight w:val="0"/>
                  <w:marTop w:val="0"/>
                  <w:marBottom w:val="0"/>
                  <w:divBdr>
                    <w:top w:val="none" w:sz="0" w:space="0" w:color="auto"/>
                    <w:left w:val="none" w:sz="0" w:space="0" w:color="auto"/>
                    <w:bottom w:val="none" w:sz="0" w:space="0" w:color="auto"/>
                    <w:right w:val="none" w:sz="0" w:space="0" w:color="auto"/>
                  </w:divBdr>
                  <w:divsChild>
                    <w:div w:id="1057047506">
                      <w:marLeft w:val="0"/>
                      <w:marRight w:val="0"/>
                      <w:marTop w:val="0"/>
                      <w:marBottom w:val="0"/>
                      <w:divBdr>
                        <w:top w:val="none" w:sz="0" w:space="0" w:color="auto"/>
                        <w:left w:val="none" w:sz="0" w:space="0" w:color="auto"/>
                        <w:bottom w:val="none" w:sz="0" w:space="0" w:color="auto"/>
                        <w:right w:val="none" w:sz="0" w:space="0" w:color="auto"/>
                      </w:divBdr>
                      <w:divsChild>
                        <w:div w:id="1622154067">
                          <w:marLeft w:val="0"/>
                          <w:marRight w:val="0"/>
                          <w:marTop w:val="0"/>
                          <w:marBottom w:val="0"/>
                          <w:divBdr>
                            <w:top w:val="none" w:sz="0" w:space="0" w:color="auto"/>
                            <w:left w:val="none" w:sz="0" w:space="0" w:color="auto"/>
                            <w:bottom w:val="none" w:sz="0" w:space="0" w:color="auto"/>
                            <w:right w:val="none" w:sz="0" w:space="0" w:color="auto"/>
                          </w:divBdr>
                          <w:divsChild>
                            <w:div w:id="9046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12881">
      <w:bodyDiv w:val="1"/>
      <w:marLeft w:val="0"/>
      <w:marRight w:val="0"/>
      <w:marTop w:val="0"/>
      <w:marBottom w:val="0"/>
      <w:divBdr>
        <w:top w:val="none" w:sz="0" w:space="0" w:color="auto"/>
        <w:left w:val="none" w:sz="0" w:space="0" w:color="auto"/>
        <w:bottom w:val="none" w:sz="0" w:space="0" w:color="auto"/>
        <w:right w:val="none" w:sz="0" w:space="0" w:color="auto"/>
      </w:divBdr>
    </w:div>
    <w:div w:id="95443736">
      <w:bodyDiv w:val="1"/>
      <w:marLeft w:val="0"/>
      <w:marRight w:val="0"/>
      <w:marTop w:val="0"/>
      <w:marBottom w:val="0"/>
      <w:divBdr>
        <w:top w:val="none" w:sz="0" w:space="0" w:color="auto"/>
        <w:left w:val="none" w:sz="0" w:space="0" w:color="auto"/>
        <w:bottom w:val="none" w:sz="0" w:space="0" w:color="auto"/>
        <w:right w:val="none" w:sz="0" w:space="0" w:color="auto"/>
      </w:divBdr>
    </w:div>
    <w:div w:id="96142412">
      <w:bodyDiv w:val="1"/>
      <w:marLeft w:val="0"/>
      <w:marRight w:val="0"/>
      <w:marTop w:val="0"/>
      <w:marBottom w:val="0"/>
      <w:divBdr>
        <w:top w:val="none" w:sz="0" w:space="0" w:color="auto"/>
        <w:left w:val="none" w:sz="0" w:space="0" w:color="auto"/>
        <w:bottom w:val="none" w:sz="0" w:space="0" w:color="auto"/>
        <w:right w:val="none" w:sz="0" w:space="0" w:color="auto"/>
      </w:divBdr>
      <w:divsChild>
        <w:div w:id="93062548">
          <w:marLeft w:val="0"/>
          <w:marRight w:val="0"/>
          <w:marTop w:val="0"/>
          <w:marBottom w:val="0"/>
          <w:divBdr>
            <w:top w:val="none" w:sz="0" w:space="0" w:color="auto"/>
            <w:left w:val="none" w:sz="0" w:space="0" w:color="auto"/>
            <w:bottom w:val="none" w:sz="0" w:space="0" w:color="auto"/>
            <w:right w:val="none" w:sz="0" w:space="0" w:color="auto"/>
          </w:divBdr>
          <w:divsChild>
            <w:div w:id="1659923287">
              <w:marLeft w:val="0"/>
              <w:marRight w:val="0"/>
              <w:marTop w:val="0"/>
              <w:marBottom w:val="0"/>
              <w:divBdr>
                <w:top w:val="none" w:sz="0" w:space="0" w:color="auto"/>
                <w:left w:val="none" w:sz="0" w:space="0" w:color="auto"/>
                <w:bottom w:val="none" w:sz="0" w:space="0" w:color="auto"/>
                <w:right w:val="none" w:sz="0" w:space="0" w:color="auto"/>
              </w:divBdr>
              <w:divsChild>
                <w:div w:id="1139878751">
                  <w:marLeft w:val="0"/>
                  <w:marRight w:val="0"/>
                  <w:marTop w:val="0"/>
                  <w:marBottom w:val="0"/>
                  <w:divBdr>
                    <w:top w:val="none" w:sz="0" w:space="0" w:color="auto"/>
                    <w:left w:val="none" w:sz="0" w:space="0" w:color="auto"/>
                    <w:bottom w:val="none" w:sz="0" w:space="0" w:color="auto"/>
                    <w:right w:val="none" w:sz="0" w:space="0" w:color="auto"/>
                  </w:divBdr>
                  <w:divsChild>
                    <w:div w:id="859047655">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112479099">
      <w:bodyDiv w:val="1"/>
      <w:marLeft w:val="0"/>
      <w:marRight w:val="0"/>
      <w:marTop w:val="0"/>
      <w:marBottom w:val="0"/>
      <w:divBdr>
        <w:top w:val="none" w:sz="0" w:space="0" w:color="auto"/>
        <w:left w:val="none" w:sz="0" w:space="0" w:color="auto"/>
        <w:bottom w:val="none" w:sz="0" w:space="0" w:color="auto"/>
        <w:right w:val="none" w:sz="0" w:space="0" w:color="auto"/>
      </w:divBdr>
    </w:div>
    <w:div w:id="122773321">
      <w:bodyDiv w:val="1"/>
      <w:marLeft w:val="0"/>
      <w:marRight w:val="0"/>
      <w:marTop w:val="0"/>
      <w:marBottom w:val="0"/>
      <w:divBdr>
        <w:top w:val="none" w:sz="0" w:space="0" w:color="auto"/>
        <w:left w:val="none" w:sz="0" w:space="0" w:color="auto"/>
        <w:bottom w:val="none" w:sz="0" w:space="0" w:color="auto"/>
        <w:right w:val="none" w:sz="0" w:space="0" w:color="auto"/>
      </w:divBdr>
      <w:divsChild>
        <w:div w:id="1026756289">
          <w:marLeft w:val="0"/>
          <w:marRight w:val="0"/>
          <w:marTop w:val="0"/>
          <w:marBottom w:val="0"/>
          <w:divBdr>
            <w:top w:val="none" w:sz="0" w:space="0" w:color="auto"/>
            <w:left w:val="none" w:sz="0" w:space="0" w:color="auto"/>
            <w:bottom w:val="none" w:sz="0" w:space="0" w:color="auto"/>
            <w:right w:val="none" w:sz="0" w:space="0" w:color="auto"/>
          </w:divBdr>
          <w:divsChild>
            <w:div w:id="178396924">
              <w:marLeft w:val="0"/>
              <w:marRight w:val="0"/>
              <w:marTop w:val="0"/>
              <w:marBottom w:val="0"/>
              <w:divBdr>
                <w:top w:val="none" w:sz="0" w:space="0" w:color="auto"/>
                <w:left w:val="none" w:sz="0" w:space="0" w:color="auto"/>
                <w:bottom w:val="none" w:sz="0" w:space="0" w:color="auto"/>
                <w:right w:val="none" w:sz="0" w:space="0" w:color="auto"/>
              </w:divBdr>
              <w:divsChild>
                <w:div w:id="6691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79">
      <w:bodyDiv w:val="1"/>
      <w:marLeft w:val="0"/>
      <w:marRight w:val="0"/>
      <w:marTop w:val="0"/>
      <w:marBottom w:val="0"/>
      <w:divBdr>
        <w:top w:val="none" w:sz="0" w:space="0" w:color="auto"/>
        <w:left w:val="none" w:sz="0" w:space="0" w:color="auto"/>
        <w:bottom w:val="none" w:sz="0" w:space="0" w:color="auto"/>
        <w:right w:val="none" w:sz="0" w:space="0" w:color="auto"/>
      </w:divBdr>
      <w:divsChild>
        <w:div w:id="1960800554">
          <w:marLeft w:val="0"/>
          <w:marRight w:val="0"/>
          <w:marTop w:val="0"/>
          <w:marBottom w:val="0"/>
          <w:divBdr>
            <w:top w:val="none" w:sz="0" w:space="0" w:color="auto"/>
            <w:left w:val="none" w:sz="0" w:space="0" w:color="auto"/>
            <w:bottom w:val="none" w:sz="0" w:space="0" w:color="auto"/>
            <w:right w:val="none" w:sz="0" w:space="0" w:color="auto"/>
          </w:divBdr>
          <w:divsChild>
            <w:div w:id="34275768">
              <w:marLeft w:val="0"/>
              <w:marRight w:val="0"/>
              <w:marTop w:val="0"/>
              <w:marBottom w:val="0"/>
              <w:divBdr>
                <w:top w:val="none" w:sz="0" w:space="0" w:color="auto"/>
                <w:left w:val="none" w:sz="0" w:space="0" w:color="auto"/>
                <w:bottom w:val="none" w:sz="0" w:space="0" w:color="auto"/>
                <w:right w:val="none" w:sz="0" w:space="0" w:color="auto"/>
              </w:divBdr>
              <w:divsChild>
                <w:div w:id="1260720176">
                  <w:marLeft w:val="0"/>
                  <w:marRight w:val="0"/>
                  <w:marTop w:val="0"/>
                  <w:marBottom w:val="0"/>
                  <w:divBdr>
                    <w:top w:val="none" w:sz="0" w:space="0" w:color="auto"/>
                    <w:left w:val="none" w:sz="0" w:space="0" w:color="auto"/>
                    <w:bottom w:val="none" w:sz="0" w:space="0" w:color="auto"/>
                    <w:right w:val="none" w:sz="0" w:space="0" w:color="auto"/>
                  </w:divBdr>
                  <w:divsChild>
                    <w:div w:id="1698041048">
                      <w:marLeft w:val="0"/>
                      <w:marRight w:val="0"/>
                      <w:marTop w:val="0"/>
                      <w:marBottom w:val="0"/>
                      <w:divBdr>
                        <w:top w:val="none" w:sz="0" w:space="0" w:color="auto"/>
                        <w:left w:val="none" w:sz="0" w:space="0" w:color="auto"/>
                        <w:bottom w:val="none" w:sz="0" w:space="0" w:color="auto"/>
                        <w:right w:val="none" w:sz="0" w:space="0" w:color="auto"/>
                      </w:divBdr>
                      <w:divsChild>
                        <w:div w:id="933636528">
                          <w:marLeft w:val="0"/>
                          <w:marRight w:val="0"/>
                          <w:marTop w:val="0"/>
                          <w:marBottom w:val="0"/>
                          <w:divBdr>
                            <w:top w:val="none" w:sz="0" w:space="0" w:color="auto"/>
                            <w:left w:val="none" w:sz="0" w:space="0" w:color="auto"/>
                            <w:bottom w:val="none" w:sz="0" w:space="0" w:color="auto"/>
                            <w:right w:val="none" w:sz="0" w:space="0" w:color="auto"/>
                          </w:divBdr>
                          <w:divsChild>
                            <w:div w:id="3738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93077">
      <w:bodyDiv w:val="1"/>
      <w:marLeft w:val="0"/>
      <w:marRight w:val="0"/>
      <w:marTop w:val="0"/>
      <w:marBottom w:val="0"/>
      <w:divBdr>
        <w:top w:val="none" w:sz="0" w:space="0" w:color="auto"/>
        <w:left w:val="none" w:sz="0" w:space="0" w:color="auto"/>
        <w:bottom w:val="none" w:sz="0" w:space="0" w:color="auto"/>
        <w:right w:val="none" w:sz="0" w:space="0" w:color="auto"/>
      </w:divBdr>
    </w:div>
    <w:div w:id="266081236">
      <w:bodyDiv w:val="1"/>
      <w:marLeft w:val="0"/>
      <w:marRight w:val="0"/>
      <w:marTop w:val="0"/>
      <w:marBottom w:val="0"/>
      <w:divBdr>
        <w:top w:val="none" w:sz="0" w:space="0" w:color="auto"/>
        <w:left w:val="none" w:sz="0" w:space="0" w:color="auto"/>
        <w:bottom w:val="none" w:sz="0" w:space="0" w:color="auto"/>
        <w:right w:val="none" w:sz="0" w:space="0" w:color="auto"/>
      </w:divBdr>
    </w:div>
    <w:div w:id="268122104">
      <w:bodyDiv w:val="1"/>
      <w:marLeft w:val="0"/>
      <w:marRight w:val="0"/>
      <w:marTop w:val="0"/>
      <w:marBottom w:val="0"/>
      <w:divBdr>
        <w:top w:val="none" w:sz="0" w:space="0" w:color="auto"/>
        <w:left w:val="none" w:sz="0" w:space="0" w:color="auto"/>
        <w:bottom w:val="none" w:sz="0" w:space="0" w:color="auto"/>
        <w:right w:val="none" w:sz="0" w:space="0" w:color="auto"/>
      </w:divBdr>
    </w:div>
    <w:div w:id="331296874">
      <w:bodyDiv w:val="1"/>
      <w:marLeft w:val="0"/>
      <w:marRight w:val="0"/>
      <w:marTop w:val="0"/>
      <w:marBottom w:val="0"/>
      <w:divBdr>
        <w:top w:val="none" w:sz="0" w:space="0" w:color="auto"/>
        <w:left w:val="none" w:sz="0" w:space="0" w:color="auto"/>
        <w:bottom w:val="none" w:sz="0" w:space="0" w:color="auto"/>
        <w:right w:val="none" w:sz="0" w:space="0" w:color="auto"/>
      </w:divBdr>
      <w:divsChild>
        <w:div w:id="2020235401">
          <w:marLeft w:val="0"/>
          <w:marRight w:val="0"/>
          <w:marTop w:val="0"/>
          <w:marBottom w:val="0"/>
          <w:divBdr>
            <w:top w:val="none" w:sz="0" w:space="0" w:color="auto"/>
            <w:left w:val="none" w:sz="0" w:space="0" w:color="auto"/>
            <w:bottom w:val="none" w:sz="0" w:space="0" w:color="auto"/>
            <w:right w:val="none" w:sz="0" w:space="0" w:color="auto"/>
          </w:divBdr>
          <w:divsChild>
            <w:div w:id="2048020435">
              <w:marLeft w:val="0"/>
              <w:marRight w:val="0"/>
              <w:marTop w:val="0"/>
              <w:marBottom w:val="0"/>
              <w:divBdr>
                <w:top w:val="none" w:sz="0" w:space="0" w:color="auto"/>
                <w:left w:val="none" w:sz="0" w:space="0" w:color="auto"/>
                <w:bottom w:val="none" w:sz="0" w:space="0" w:color="auto"/>
                <w:right w:val="none" w:sz="0" w:space="0" w:color="auto"/>
              </w:divBdr>
              <w:divsChild>
                <w:div w:id="301733819">
                  <w:marLeft w:val="0"/>
                  <w:marRight w:val="0"/>
                  <w:marTop w:val="0"/>
                  <w:marBottom w:val="0"/>
                  <w:divBdr>
                    <w:top w:val="none" w:sz="0" w:space="0" w:color="auto"/>
                    <w:left w:val="none" w:sz="0" w:space="0" w:color="auto"/>
                    <w:bottom w:val="none" w:sz="0" w:space="0" w:color="auto"/>
                    <w:right w:val="none" w:sz="0" w:space="0" w:color="auto"/>
                  </w:divBdr>
                  <w:divsChild>
                    <w:div w:id="1689913715">
                      <w:marLeft w:val="0"/>
                      <w:marRight w:val="0"/>
                      <w:marTop w:val="0"/>
                      <w:marBottom w:val="0"/>
                      <w:divBdr>
                        <w:top w:val="none" w:sz="0" w:space="0" w:color="auto"/>
                        <w:left w:val="none" w:sz="0" w:space="0" w:color="auto"/>
                        <w:bottom w:val="none" w:sz="0" w:space="0" w:color="auto"/>
                        <w:right w:val="none" w:sz="0" w:space="0" w:color="auto"/>
                      </w:divBdr>
                      <w:divsChild>
                        <w:div w:id="1403987806">
                          <w:marLeft w:val="0"/>
                          <w:marRight w:val="0"/>
                          <w:marTop w:val="0"/>
                          <w:marBottom w:val="0"/>
                          <w:divBdr>
                            <w:top w:val="none" w:sz="0" w:space="0" w:color="auto"/>
                            <w:left w:val="none" w:sz="0" w:space="0" w:color="auto"/>
                            <w:bottom w:val="none" w:sz="0" w:space="0" w:color="auto"/>
                            <w:right w:val="none" w:sz="0" w:space="0" w:color="auto"/>
                          </w:divBdr>
                          <w:divsChild>
                            <w:div w:id="1417705279">
                              <w:marLeft w:val="0"/>
                              <w:marRight w:val="0"/>
                              <w:marTop w:val="0"/>
                              <w:marBottom w:val="0"/>
                              <w:divBdr>
                                <w:top w:val="none" w:sz="0" w:space="0" w:color="auto"/>
                                <w:left w:val="none" w:sz="0" w:space="0" w:color="auto"/>
                                <w:bottom w:val="none" w:sz="0" w:space="0" w:color="auto"/>
                                <w:right w:val="none" w:sz="0" w:space="0" w:color="auto"/>
                              </w:divBdr>
                              <w:divsChild>
                                <w:div w:id="927352495">
                                  <w:marLeft w:val="4155"/>
                                  <w:marRight w:val="225"/>
                                  <w:marTop w:val="450"/>
                                  <w:marBottom w:val="750"/>
                                  <w:divBdr>
                                    <w:top w:val="none" w:sz="0" w:space="0" w:color="auto"/>
                                    <w:left w:val="none" w:sz="0" w:space="0" w:color="auto"/>
                                    <w:bottom w:val="none" w:sz="0" w:space="0" w:color="auto"/>
                                    <w:right w:val="none" w:sz="0" w:space="0" w:color="auto"/>
                                  </w:divBdr>
                                  <w:divsChild>
                                    <w:div w:id="1644777933">
                                      <w:marLeft w:val="0"/>
                                      <w:marRight w:val="0"/>
                                      <w:marTop w:val="0"/>
                                      <w:marBottom w:val="0"/>
                                      <w:divBdr>
                                        <w:top w:val="none" w:sz="0" w:space="0" w:color="auto"/>
                                        <w:left w:val="none" w:sz="0" w:space="0" w:color="auto"/>
                                        <w:bottom w:val="none" w:sz="0" w:space="0" w:color="auto"/>
                                        <w:right w:val="none" w:sz="0" w:space="0" w:color="auto"/>
                                      </w:divBdr>
                                      <w:divsChild>
                                        <w:div w:id="1258101195">
                                          <w:marLeft w:val="0"/>
                                          <w:marRight w:val="0"/>
                                          <w:marTop w:val="0"/>
                                          <w:marBottom w:val="0"/>
                                          <w:divBdr>
                                            <w:top w:val="none" w:sz="0" w:space="0" w:color="auto"/>
                                            <w:left w:val="none" w:sz="0" w:space="0" w:color="auto"/>
                                            <w:bottom w:val="none" w:sz="0" w:space="0" w:color="auto"/>
                                            <w:right w:val="none" w:sz="0" w:space="0" w:color="auto"/>
                                          </w:divBdr>
                                          <w:divsChild>
                                            <w:div w:id="1375616849">
                                              <w:marLeft w:val="0"/>
                                              <w:marRight w:val="0"/>
                                              <w:marTop w:val="0"/>
                                              <w:marBottom w:val="0"/>
                                              <w:divBdr>
                                                <w:top w:val="none" w:sz="0" w:space="0" w:color="auto"/>
                                                <w:left w:val="none" w:sz="0" w:space="0" w:color="auto"/>
                                                <w:bottom w:val="none" w:sz="0" w:space="0" w:color="auto"/>
                                                <w:right w:val="none" w:sz="0" w:space="0" w:color="auto"/>
                                              </w:divBdr>
                                              <w:divsChild>
                                                <w:div w:id="441460981">
                                                  <w:marLeft w:val="0"/>
                                                  <w:marRight w:val="0"/>
                                                  <w:marTop w:val="0"/>
                                                  <w:marBottom w:val="0"/>
                                                  <w:divBdr>
                                                    <w:top w:val="none" w:sz="0" w:space="0" w:color="auto"/>
                                                    <w:left w:val="none" w:sz="0" w:space="0" w:color="auto"/>
                                                    <w:bottom w:val="none" w:sz="0" w:space="0" w:color="auto"/>
                                                    <w:right w:val="none" w:sz="0" w:space="0" w:color="auto"/>
                                                  </w:divBdr>
                                                  <w:divsChild>
                                                    <w:div w:id="1086921000">
                                                      <w:marLeft w:val="0"/>
                                                      <w:marRight w:val="0"/>
                                                      <w:marTop w:val="0"/>
                                                      <w:marBottom w:val="0"/>
                                                      <w:divBdr>
                                                        <w:top w:val="none" w:sz="0" w:space="0" w:color="auto"/>
                                                        <w:left w:val="none" w:sz="0" w:space="0" w:color="auto"/>
                                                        <w:bottom w:val="none" w:sz="0" w:space="0" w:color="auto"/>
                                                        <w:right w:val="none" w:sz="0" w:space="0" w:color="auto"/>
                                                      </w:divBdr>
                                                      <w:divsChild>
                                                        <w:div w:id="341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664018">
      <w:bodyDiv w:val="1"/>
      <w:marLeft w:val="0"/>
      <w:marRight w:val="0"/>
      <w:marTop w:val="0"/>
      <w:marBottom w:val="0"/>
      <w:divBdr>
        <w:top w:val="none" w:sz="0" w:space="0" w:color="auto"/>
        <w:left w:val="none" w:sz="0" w:space="0" w:color="auto"/>
        <w:bottom w:val="none" w:sz="0" w:space="0" w:color="auto"/>
        <w:right w:val="none" w:sz="0" w:space="0" w:color="auto"/>
      </w:divBdr>
    </w:div>
    <w:div w:id="382293946">
      <w:bodyDiv w:val="1"/>
      <w:marLeft w:val="0"/>
      <w:marRight w:val="0"/>
      <w:marTop w:val="0"/>
      <w:marBottom w:val="0"/>
      <w:divBdr>
        <w:top w:val="none" w:sz="0" w:space="0" w:color="auto"/>
        <w:left w:val="none" w:sz="0" w:space="0" w:color="auto"/>
        <w:bottom w:val="none" w:sz="0" w:space="0" w:color="auto"/>
        <w:right w:val="none" w:sz="0" w:space="0" w:color="auto"/>
      </w:divBdr>
      <w:divsChild>
        <w:div w:id="1857303309">
          <w:marLeft w:val="0"/>
          <w:marRight w:val="0"/>
          <w:marTop w:val="0"/>
          <w:marBottom w:val="0"/>
          <w:divBdr>
            <w:top w:val="none" w:sz="0" w:space="0" w:color="auto"/>
            <w:left w:val="none" w:sz="0" w:space="0" w:color="auto"/>
            <w:bottom w:val="none" w:sz="0" w:space="0" w:color="auto"/>
            <w:right w:val="none" w:sz="0" w:space="0" w:color="auto"/>
          </w:divBdr>
          <w:divsChild>
            <w:div w:id="1681353471">
              <w:marLeft w:val="0"/>
              <w:marRight w:val="0"/>
              <w:marTop w:val="0"/>
              <w:marBottom w:val="0"/>
              <w:divBdr>
                <w:top w:val="none" w:sz="0" w:space="0" w:color="auto"/>
                <w:left w:val="none" w:sz="0" w:space="0" w:color="auto"/>
                <w:bottom w:val="none" w:sz="0" w:space="0" w:color="auto"/>
                <w:right w:val="none" w:sz="0" w:space="0" w:color="auto"/>
              </w:divBdr>
              <w:divsChild>
                <w:div w:id="1942637446">
                  <w:marLeft w:val="0"/>
                  <w:marRight w:val="0"/>
                  <w:marTop w:val="0"/>
                  <w:marBottom w:val="0"/>
                  <w:divBdr>
                    <w:top w:val="none" w:sz="0" w:space="0" w:color="auto"/>
                    <w:left w:val="none" w:sz="0" w:space="0" w:color="auto"/>
                    <w:bottom w:val="none" w:sz="0" w:space="0" w:color="auto"/>
                    <w:right w:val="none" w:sz="0" w:space="0" w:color="auto"/>
                  </w:divBdr>
                  <w:divsChild>
                    <w:div w:id="935675421">
                      <w:marLeft w:val="0"/>
                      <w:marRight w:val="0"/>
                      <w:marTop w:val="0"/>
                      <w:marBottom w:val="0"/>
                      <w:divBdr>
                        <w:top w:val="single" w:sz="6" w:space="0" w:color="DCD9D9"/>
                        <w:left w:val="single" w:sz="6" w:space="0" w:color="DCD9D9"/>
                        <w:bottom w:val="single" w:sz="2" w:space="0" w:color="DCD9D9"/>
                        <w:right w:val="single" w:sz="6" w:space="0" w:color="DCD9D9"/>
                      </w:divBdr>
                      <w:divsChild>
                        <w:div w:id="1186140209">
                          <w:marLeft w:val="0"/>
                          <w:marRight w:val="-100"/>
                          <w:marTop w:val="450"/>
                          <w:marBottom w:val="0"/>
                          <w:divBdr>
                            <w:top w:val="none" w:sz="0" w:space="0" w:color="auto"/>
                            <w:left w:val="none" w:sz="0" w:space="0" w:color="auto"/>
                            <w:bottom w:val="none" w:sz="0" w:space="0" w:color="auto"/>
                            <w:right w:val="none" w:sz="0" w:space="0" w:color="auto"/>
                          </w:divBdr>
                          <w:divsChild>
                            <w:div w:id="443043964">
                              <w:marLeft w:val="0"/>
                              <w:marRight w:val="0"/>
                              <w:marTop w:val="0"/>
                              <w:marBottom w:val="0"/>
                              <w:divBdr>
                                <w:top w:val="none" w:sz="0" w:space="0" w:color="auto"/>
                                <w:left w:val="none" w:sz="0" w:space="0" w:color="auto"/>
                                <w:bottom w:val="none" w:sz="0" w:space="0" w:color="auto"/>
                                <w:right w:val="none" w:sz="0" w:space="0" w:color="auto"/>
                              </w:divBdr>
                              <w:divsChild>
                                <w:div w:id="592931635">
                                  <w:marLeft w:val="0"/>
                                  <w:marRight w:val="0"/>
                                  <w:marTop w:val="0"/>
                                  <w:marBottom w:val="0"/>
                                  <w:divBdr>
                                    <w:top w:val="none" w:sz="0" w:space="0" w:color="auto"/>
                                    <w:left w:val="none" w:sz="0" w:space="0" w:color="auto"/>
                                    <w:bottom w:val="none" w:sz="0" w:space="0" w:color="auto"/>
                                    <w:right w:val="none" w:sz="0" w:space="0" w:color="auto"/>
                                  </w:divBdr>
                                  <w:divsChild>
                                    <w:div w:id="1888836302">
                                      <w:marLeft w:val="0"/>
                                      <w:marRight w:val="0"/>
                                      <w:marTop w:val="0"/>
                                      <w:marBottom w:val="0"/>
                                      <w:divBdr>
                                        <w:top w:val="none" w:sz="0" w:space="0" w:color="auto"/>
                                        <w:left w:val="none" w:sz="0" w:space="0" w:color="auto"/>
                                        <w:bottom w:val="none" w:sz="0" w:space="0" w:color="auto"/>
                                        <w:right w:val="none" w:sz="0" w:space="0" w:color="auto"/>
                                      </w:divBdr>
                                      <w:divsChild>
                                        <w:div w:id="2029090260">
                                          <w:marLeft w:val="0"/>
                                          <w:marRight w:val="0"/>
                                          <w:marTop w:val="0"/>
                                          <w:marBottom w:val="360"/>
                                          <w:divBdr>
                                            <w:top w:val="none" w:sz="0" w:space="0" w:color="auto"/>
                                            <w:left w:val="none" w:sz="0" w:space="0" w:color="auto"/>
                                            <w:bottom w:val="none" w:sz="0" w:space="0" w:color="auto"/>
                                            <w:right w:val="none" w:sz="0" w:space="0" w:color="auto"/>
                                          </w:divBdr>
                                          <w:divsChild>
                                            <w:div w:id="1652101544">
                                              <w:marLeft w:val="0"/>
                                              <w:marRight w:val="0"/>
                                              <w:marTop w:val="0"/>
                                              <w:marBottom w:val="0"/>
                                              <w:divBdr>
                                                <w:top w:val="none" w:sz="0" w:space="0" w:color="auto"/>
                                                <w:left w:val="none" w:sz="0" w:space="0" w:color="auto"/>
                                                <w:bottom w:val="none" w:sz="0" w:space="0" w:color="auto"/>
                                                <w:right w:val="none" w:sz="0" w:space="0" w:color="auto"/>
                                              </w:divBdr>
                                              <w:divsChild>
                                                <w:div w:id="1279606941">
                                                  <w:marLeft w:val="0"/>
                                                  <w:marRight w:val="0"/>
                                                  <w:marTop w:val="0"/>
                                                  <w:marBottom w:val="0"/>
                                                  <w:divBdr>
                                                    <w:top w:val="none" w:sz="0" w:space="0" w:color="auto"/>
                                                    <w:left w:val="none" w:sz="0" w:space="0" w:color="auto"/>
                                                    <w:bottom w:val="none" w:sz="0" w:space="0" w:color="auto"/>
                                                    <w:right w:val="none" w:sz="0" w:space="0" w:color="auto"/>
                                                  </w:divBdr>
                                                  <w:divsChild>
                                                    <w:div w:id="829250778">
                                                      <w:marLeft w:val="0"/>
                                                      <w:marRight w:val="0"/>
                                                      <w:marTop w:val="0"/>
                                                      <w:marBottom w:val="0"/>
                                                      <w:divBdr>
                                                        <w:top w:val="none" w:sz="0" w:space="0" w:color="auto"/>
                                                        <w:left w:val="none" w:sz="0" w:space="0" w:color="auto"/>
                                                        <w:bottom w:val="none" w:sz="0" w:space="0" w:color="auto"/>
                                                        <w:right w:val="none" w:sz="0" w:space="0" w:color="auto"/>
                                                      </w:divBdr>
                                                      <w:divsChild>
                                                        <w:div w:id="1220629584">
                                                          <w:marLeft w:val="0"/>
                                                          <w:marRight w:val="0"/>
                                                          <w:marTop w:val="0"/>
                                                          <w:marBottom w:val="0"/>
                                                          <w:divBdr>
                                                            <w:top w:val="none" w:sz="0" w:space="0" w:color="auto"/>
                                                            <w:left w:val="none" w:sz="0" w:space="0" w:color="auto"/>
                                                            <w:bottom w:val="none" w:sz="0" w:space="0" w:color="auto"/>
                                                            <w:right w:val="none" w:sz="0" w:space="0" w:color="auto"/>
                                                          </w:divBdr>
                                                          <w:divsChild>
                                                            <w:div w:id="1954899263">
                                                              <w:marLeft w:val="0"/>
                                                              <w:marRight w:val="0"/>
                                                              <w:marTop w:val="0"/>
                                                              <w:marBottom w:val="0"/>
                                                              <w:divBdr>
                                                                <w:top w:val="none" w:sz="0" w:space="0" w:color="auto"/>
                                                                <w:left w:val="none" w:sz="0" w:space="0" w:color="auto"/>
                                                                <w:bottom w:val="none" w:sz="0" w:space="0" w:color="auto"/>
                                                                <w:right w:val="none" w:sz="0" w:space="0" w:color="auto"/>
                                                              </w:divBdr>
                                                              <w:divsChild>
                                                                <w:div w:id="184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530017">
      <w:bodyDiv w:val="1"/>
      <w:marLeft w:val="0"/>
      <w:marRight w:val="0"/>
      <w:marTop w:val="0"/>
      <w:marBottom w:val="0"/>
      <w:divBdr>
        <w:top w:val="none" w:sz="0" w:space="0" w:color="auto"/>
        <w:left w:val="none" w:sz="0" w:space="0" w:color="auto"/>
        <w:bottom w:val="none" w:sz="0" w:space="0" w:color="auto"/>
        <w:right w:val="none" w:sz="0" w:space="0" w:color="auto"/>
      </w:divBdr>
    </w:div>
    <w:div w:id="440733398">
      <w:bodyDiv w:val="1"/>
      <w:marLeft w:val="0"/>
      <w:marRight w:val="0"/>
      <w:marTop w:val="0"/>
      <w:marBottom w:val="0"/>
      <w:divBdr>
        <w:top w:val="none" w:sz="0" w:space="0" w:color="auto"/>
        <w:left w:val="none" w:sz="0" w:space="0" w:color="auto"/>
        <w:bottom w:val="none" w:sz="0" w:space="0" w:color="auto"/>
        <w:right w:val="none" w:sz="0" w:space="0" w:color="auto"/>
      </w:divBdr>
    </w:div>
    <w:div w:id="447967557">
      <w:bodyDiv w:val="1"/>
      <w:marLeft w:val="0"/>
      <w:marRight w:val="0"/>
      <w:marTop w:val="0"/>
      <w:marBottom w:val="0"/>
      <w:divBdr>
        <w:top w:val="none" w:sz="0" w:space="0" w:color="auto"/>
        <w:left w:val="none" w:sz="0" w:space="0" w:color="auto"/>
        <w:bottom w:val="none" w:sz="0" w:space="0" w:color="auto"/>
        <w:right w:val="none" w:sz="0" w:space="0" w:color="auto"/>
      </w:divBdr>
    </w:div>
    <w:div w:id="471800313">
      <w:bodyDiv w:val="1"/>
      <w:marLeft w:val="0"/>
      <w:marRight w:val="0"/>
      <w:marTop w:val="0"/>
      <w:marBottom w:val="0"/>
      <w:divBdr>
        <w:top w:val="none" w:sz="0" w:space="0" w:color="auto"/>
        <w:left w:val="none" w:sz="0" w:space="0" w:color="auto"/>
        <w:bottom w:val="none" w:sz="0" w:space="0" w:color="auto"/>
        <w:right w:val="none" w:sz="0" w:space="0" w:color="auto"/>
      </w:divBdr>
      <w:divsChild>
        <w:div w:id="81881209">
          <w:marLeft w:val="0"/>
          <w:marRight w:val="0"/>
          <w:marTop w:val="0"/>
          <w:marBottom w:val="0"/>
          <w:divBdr>
            <w:top w:val="none" w:sz="0" w:space="0" w:color="auto"/>
            <w:left w:val="none" w:sz="0" w:space="0" w:color="auto"/>
            <w:bottom w:val="none" w:sz="0" w:space="0" w:color="auto"/>
            <w:right w:val="none" w:sz="0" w:space="0" w:color="auto"/>
          </w:divBdr>
          <w:divsChild>
            <w:div w:id="2011833203">
              <w:marLeft w:val="0"/>
              <w:marRight w:val="0"/>
              <w:marTop w:val="0"/>
              <w:marBottom w:val="0"/>
              <w:divBdr>
                <w:top w:val="none" w:sz="0" w:space="0" w:color="auto"/>
                <w:left w:val="none" w:sz="0" w:space="0" w:color="auto"/>
                <w:bottom w:val="none" w:sz="0" w:space="0" w:color="auto"/>
                <w:right w:val="none" w:sz="0" w:space="0" w:color="auto"/>
              </w:divBdr>
              <w:divsChild>
                <w:div w:id="730427183">
                  <w:marLeft w:val="0"/>
                  <w:marRight w:val="0"/>
                  <w:marTop w:val="0"/>
                  <w:marBottom w:val="0"/>
                  <w:divBdr>
                    <w:top w:val="none" w:sz="0" w:space="0" w:color="auto"/>
                    <w:left w:val="none" w:sz="0" w:space="0" w:color="auto"/>
                    <w:bottom w:val="none" w:sz="0" w:space="0" w:color="auto"/>
                    <w:right w:val="none" w:sz="0" w:space="0" w:color="auto"/>
                  </w:divBdr>
                  <w:divsChild>
                    <w:div w:id="53938471">
                      <w:marLeft w:val="0"/>
                      <w:marRight w:val="0"/>
                      <w:marTop w:val="0"/>
                      <w:marBottom w:val="0"/>
                      <w:divBdr>
                        <w:top w:val="single" w:sz="6" w:space="0" w:color="DCD9D9"/>
                        <w:left w:val="single" w:sz="6" w:space="0" w:color="DCD9D9"/>
                        <w:bottom w:val="single" w:sz="2" w:space="0" w:color="DCD9D9"/>
                        <w:right w:val="single" w:sz="6" w:space="0" w:color="DCD9D9"/>
                      </w:divBdr>
                      <w:divsChild>
                        <w:div w:id="182524489">
                          <w:marLeft w:val="0"/>
                          <w:marRight w:val="-100"/>
                          <w:marTop w:val="450"/>
                          <w:marBottom w:val="0"/>
                          <w:divBdr>
                            <w:top w:val="none" w:sz="0" w:space="0" w:color="auto"/>
                            <w:left w:val="none" w:sz="0" w:space="0" w:color="auto"/>
                            <w:bottom w:val="none" w:sz="0" w:space="0" w:color="auto"/>
                            <w:right w:val="none" w:sz="0" w:space="0" w:color="auto"/>
                          </w:divBdr>
                          <w:divsChild>
                            <w:div w:id="1875726605">
                              <w:marLeft w:val="0"/>
                              <w:marRight w:val="0"/>
                              <w:marTop w:val="0"/>
                              <w:marBottom w:val="0"/>
                              <w:divBdr>
                                <w:top w:val="none" w:sz="0" w:space="0" w:color="auto"/>
                                <w:left w:val="none" w:sz="0" w:space="0" w:color="auto"/>
                                <w:bottom w:val="none" w:sz="0" w:space="0" w:color="auto"/>
                                <w:right w:val="none" w:sz="0" w:space="0" w:color="auto"/>
                              </w:divBdr>
                              <w:divsChild>
                                <w:div w:id="1324504383">
                                  <w:marLeft w:val="0"/>
                                  <w:marRight w:val="0"/>
                                  <w:marTop w:val="0"/>
                                  <w:marBottom w:val="0"/>
                                  <w:divBdr>
                                    <w:top w:val="none" w:sz="0" w:space="0" w:color="auto"/>
                                    <w:left w:val="none" w:sz="0" w:space="0" w:color="auto"/>
                                    <w:bottom w:val="none" w:sz="0" w:space="0" w:color="auto"/>
                                    <w:right w:val="none" w:sz="0" w:space="0" w:color="auto"/>
                                  </w:divBdr>
                                  <w:divsChild>
                                    <w:div w:id="1319457743">
                                      <w:marLeft w:val="0"/>
                                      <w:marRight w:val="0"/>
                                      <w:marTop w:val="0"/>
                                      <w:marBottom w:val="0"/>
                                      <w:divBdr>
                                        <w:top w:val="none" w:sz="0" w:space="0" w:color="auto"/>
                                        <w:left w:val="none" w:sz="0" w:space="0" w:color="auto"/>
                                        <w:bottom w:val="none" w:sz="0" w:space="0" w:color="auto"/>
                                        <w:right w:val="none" w:sz="0" w:space="0" w:color="auto"/>
                                      </w:divBdr>
                                      <w:divsChild>
                                        <w:div w:id="137386115">
                                          <w:marLeft w:val="0"/>
                                          <w:marRight w:val="0"/>
                                          <w:marTop w:val="0"/>
                                          <w:marBottom w:val="360"/>
                                          <w:divBdr>
                                            <w:top w:val="none" w:sz="0" w:space="0" w:color="auto"/>
                                            <w:left w:val="none" w:sz="0" w:space="0" w:color="auto"/>
                                            <w:bottom w:val="none" w:sz="0" w:space="0" w:color="auto"/>
                                            <w:right w:val="none" w:sz="0" w:space="0" w:color="auto"/>
                                          </w:divBdr>
                                          <w:divsChild>
                                            <w:div w:id="1238857930">
                                              <w:marLeft w:val="0"/>
                                              <w:marRight w:val="0"/>
                                              <w:marTop w:val="0"/>
                                              <w:marBottom w:val="0"/>
                                              <w:divBdr>
                                                <w:top w:val="none" w:sz="0" w:space="0" w:color="auto"/>
                                                <w:left w:val="none" w:sz="0" w:space="0" w:color="auto"/>
                                                <w:bottom w:val="none" w:sz="0" w:space="0" w:color="auto"/>
                                                <w:right w:val="none" w:sz="0" w:space="0" w:color="auto"/>
                                              </w:divBdr>
                                              <w:divsChild>
                                                <w:div w:id="146820503">
                                                  <w:marLeft w:val="0"/>
                                                  <w:marRight w:val="0"/>
                                                  <w:marTop w:val="0"/>
                                                  <w:marBottom w:val="0"/>
                                                  <w:divBdr>
                                                    <w:top w:val="none" w:sz="0" w:space="0" w:color="auto"/>
                                                    <w:left w:val="none" w:sz="0" w:space="0" w:color="auto"/>
                                                    <w:bottom w:val="none" w:sz="0" w:space="0" w:color="auto"/>
                                                    <w:right w:val="none" w:sz="0" w:space="0" w:color="auto"/>
                                                  </w:divBdr>
                                                  <w:divsChild>
                                                    <w:div w:id="245770079">
                                                      <w:marLeft w:val="0"/>
                                                      <w:marRight w:val="0"/>
                                                      <w:marTop w:val="0"/>
                                                      <w:marBottom w:val="0"/>
                                                      <w:divBdr>
                                                        <w:top w:val="none" w:sz="0" w:space="0" w:color="auto"/>
                                                        <w:left w:val="none" w:sz="0" w:space="0" w:color="auto"/>
                                                        <w:bottom w:val="none" w:sz="0" w:space="0" w:color="auto"/>
                                                        <w:right w:val="none" w:sz="0" w:space="0" w:color="auto"/>
                                                      </w:divBdr>
                                                      <w:divsChild>
                                                        <w:div w:id="1347832097">
                                                          <w:marLeft w:val="0"/>
                                                          <w:marRight w:val="0"/>
                                                          <w:marTop w:val="0"/>
                                                          <w:marBottom w:val="0"/>
                                                          <w:divBdr>
                                                            <w:top w:val="none" w:sz="0" w:space="0" w:color="auto"/>
                                                            <w:left w:val="none" w:sz="0" w:space="0" w:color="auto"/>
                                                            <w:bottom w:val="none" w:sz="0" w:space="0" w:color="auto"/>
                                                            <w:right w:val="none" w:sz="0" w:space="0" w:color="auto"/>
                                                          </w:divBdr>
                                                          <w:divsChild>
                                                            <w:div w:id="1094278486">
                                                              <w:marLeft w:val="0"/>
                                                              <w:marRight w:val="0"/>
                                                              <w:marTop w:val="0"/>
                                                              <w:marBottom w:val="0"/>
                                                              <w:divBdr>
                                                                <w:top w:val="none" w:sz="0" w:space="0" w:color="auto"/>
                                                                <w:left w:val="none" w:sz="0" w:space="0" w:color="auto"/>
                                                                <w:bottom w:val="none" w:sz="0" w:space="0" w:color="auto"/>
                                                                <w:right w:val="none" w:sz="0" w:space="0" w:color="auto"/>
                                                              </w:divBdr>
                                                              <w:divsChild>
                                                                <w:div w:id="677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5072533">
      <w:bodyDiv w:val="1"/>
      <w:marLeft w:val="0"/>
      <w:marRight w:val="0"/>
      <w:marTop w:val="0"/>
      <w:marBottom w:val="0"/>
      <w:divBdr>
        <w:top w:val="none" w:sz="0" w:space="0" w:color="auto"/>
        <w:left w:val="none" w:sz="0" w:space="0" w:color="auto"/>
        <w:bottom w:val="none" w:sz="0" w:space="0" w:color="auto"/>
        <w:right w:val="none" w:sz="0" w:space="0" w:color="auto"/>
      </w:divBdr>
      <w:divsChild>
        <w:div w:id="801580759">
          <w:marLeft w:val="0"/>
          <w:marRight w:val="0"/>
          <w:marTop w:val="0"/>
          <w:marBottom w:val="0"/>
          <w:divBdr>
            <w:top w:val="none" w:sz="0" w:space="0" w:color="auto"/>
            <w:left w:val="none" w:sz="0" w:space="0" w:color="auto"/>
            <w:bottom w:val="none" w:sz="0" w:space="0" w:color="auto"/>
            <w:right w:val="none" w:sz="0" w:space="0" w:color="auto"/>
          </w:divBdr>
          <w:divsChild>
            <w:div w:id="603730518">
              <w:marLeft w:val="0"/>
              <w:marRight w:val="0"/>
              <w:marTop w:val="0"/>
              <w:marBottom w:val="0"/>
              <w:divBdr>
                <w:top w:val="none" w:sz="0" w:space="0" w:color="auto"/>
                <w:left w:val="none" w:sz="0" w:space="0" w:color="auto"/>
                <w:bottom w:val="none" w:sz="0" w:space="0" w:color="auto"/>
                <w:right w:val="none" w:sz="0" w:space="0" w:color="auto"/>
              </w:divBdr>
              <w:divsChild>
                <w:div w:id="1300064017">
                  <w:marLeft w:val="0"/>
                  <w:marRight w:val="0"/>
                  <w:marTop w:val="0"/>
                  <w:marBottom w:val="0"/>
                  <w:divBdr>
                    <w:top w:val="none" w:sz="0" w:space="0" w:color="auto"/>
                    <w:left w:val="none" w:sz="0" w:space="0" w:color="auto"/>
                    <w:bottom w:val="none" w:sz="0" w:space="0" w:color="auto"/>
                    <w:right w:val="none" w:sz="0" w:space="0" w:color="auto"/>
                  </w:divBdr>
                  <w:divsChild>
                    <w:div w:id="1686709302">
                      <w:marLeft w:val="0"/>
                      <w:marRight w:val="0"/>
                      <w:marTop w:val="0"/>
                      <w:marBottom w:val="0"/>
                      <w:divBdr>
                        <w:top w:val="none" w:sz="0" w:space="0" w:color="auto"/>
                        <w:left w:val="none" w:sz="0" w:space="0" w:color="auto"/>
                        <w:bottom w:val="none" w:sz="0" w:space="0" w:color="auto"/>
                        <w:right w:val="none" w:sz="0" w:space="0" w:color="auto"/>
                      </w:divBdr>
                      <w:divsChild>
                        <w:div w:id="1174997455">
                          <w:marLeft w:val="0"/>
                          <w:marRight w:val="0"/>
                          <w:marTop w:val="0"/>
                          <w:marBottom w:val="0"/>
                          <w:divBdr>
                            <w:top w:val="none" w:sz="0" w:space="0" w:color="auto"/>
                            <w:left w:val="none" w:sz="0" w:space="0" w:color="auto"/>
                            <w:bottom w:val="none" w:sz="0" w:space="0" w:color="auto"/>
                            <w:right w:val="none" w:sz="0" w:space="0" w:color="auto"/>
                          </w:divBdr>
                          <w:divsChild>
                            <w:div w:id="1863130713">
                              <w:marLeft w:val="0"/>
                              <w:marRight w:val="0"/>
                              <w:marTop w:val="0"/>
                              <w:marBottom w:val="0"/>
                              <w:divBdr>
                                <w:top w:val="none" w:sz="0" w:space="0" w:color="auto"/>
                                <w:left w:val="none" w:sz="0" w:space="0" w:color="auto"/>
                                <w:bottom w:val="none" w:sz="0" w:space="0" w:color="auto"/>
                                <w:right w:val="none" w:sz="0" w:space="0" w:color="auto"/>
                              </w:divBdr>
                              <w:divsChild>
                                <w:div w:id="1158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1600">
      <w:bodyDiv w:val="1"/>
      <w:marLeft w:val="0"/>
      <w:marRight w:val="0"/>
      <w:marTop w:val="0"/>
      <w:marBottom w:val="0"/>
      <w:divBdr>
        <w:top w:val="none" w:sz="0" w:space="0" w:color="auto"/>
        <w:left w:val="none" w:sz="0" w:space="0" w:color="auto"/>
        <w:bottom w:val="none" w:sz="0" w:space="0" w:color="auto"/>
        <w:right w:val="none" w:sz="0" w:space="0" w:color="auto"/>
      </w:divBdr>
      <w:divsChild>
        <w:div w:id="1988388838">
          <w:marLeft w:val="0"/>
          <w:marRight w:val="0"/>
          <w:marTop w:val="0"/>
          <w:marBottom w:val="0"/>
          <w:divBdr>
            <w:top w:val="none" w:sz="0" w:space="0" w:color="auto"/>
            <w:left w:val="none" w:sz="0" w:space="0" w:color="auto"/>
            <w:bottom w:val="none" w:sz="0" w:space="0" w:color="auto"/>
            <w:right w:val="none" w:sz="0" w:space="0" w:color="auto"/>
          </w:divBdr>
          <w:divsChild>
            <w:div w:id="2169017">
              <w:marLeft w:val="0"/>
              <w:marRight w:val="0"/>
              <w:marTop w:val="0"/>
              <w:marBottom w:val="0"/>
              <w:divBdr>
                <w:top w:val="none" w:sz="0" w:space="0" w:color="auto"/>
                <w:left w:val="none" w:sz="0" w:space="0" w:color="auto"/>
                <w:bottom w:val="none" w:sz="0" w:space="0" w:color="auto"/>
                <w:right w:val="none" w:sz="0" w:space="0" w:color="auto"/>
              </w:divBdr>
              <w:divsChild>
                <w:div w:id="1075009082">
                  <w:marLeft w:val="0"/>
                  <w:marRight w:val="0"/>
                  <w:marTop w:val="0"/>
                  <w:marBottom w:val="0"/>
                  <w:divBdr>
                    <w:top w:val="none" w:sz="0" w:space="0" w:color="auto"/>
                    <w:left w:val="none" w:sz="0" w:space="0" w:color="auto"/>
                    <w:bottom w:val="none" w:sz="0" w:space="0" w:color="auto"/>
                    <w:right w:val="none" w:sz="0" w:space="0" w:color="auto"/>
                  </w:divBdr>
                  <w:divsChild>
                    <w:div w:id="862860683">
                      <w:marLeft w:val="0"/>
                      <w:marRight w:val="0"/>
                      <w:marTop w:val="0"/>
                      <w:marBottom w:val="0"/>
                      <w:divBdr>
                        <w:top w:val="none" w:sz="0" w:space="0" w:color="auto"/>
                        <w:left w:val="none" w:sz="0" w:space="0" w:color="auto"/>
                        <w:bottom w:val="none" w:sz="0" w:space="0" w:color="auto"/>
                        <w:right w:val="none" w:sz="0" w:space="0" w:color="auto"/>
                      </w:divBdr>
                      <w:divsChild>
                        <w:div w:id="1712801551">
                          <w:marLeft w:val="0"/>
                          <w:marRight w:val="0"/>
                          <w:marTop w:val="0"/>
                          <w:marBottom w:val="0"/>
                          <w:divBdr>
                            <w:top w:val="none" w:sz="0" w:space="0" w:color="auto"/>
                            <w:left w:val="none" w:sz="0" w:space="0" w:color="auto"/>
                            <w:bottom w:val="none" w:sz="0" w:space="0" w:color="auto"/>
                            <w:right w:val="none" w:sz="0" w:space="0" w:color="auto"/>
                          </w:divBdr>
                          <w:divsChild>
                            <w:div w:id="1683432820">
                              <w:marLeft w:val="0"/>
                              <w:marRight w:val="0"/>
                              <w:marTop w:val="0"/>
                              <w:marBottom w:val="0"/>
                              <w:divBdr>
                                <w:top w:val="none" w:sz="0" w:space="0" w:color="auto"/>
                                <w:left w:val="none" w:sz="0" w:space="0" w:color="auto"/>
                                <w:bottom w:val="none" w:sz="0" w:space="0" w:color="auto"/>
                                <w:right w:val="none" w:sz="0" w:space="0" w:color="auto"/>
                              </w:divBdr>
                              <w:divsChild>
                                <w:div w:id="1700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216955">
      <w:bodyDiv w:val="1"/>
      <w:marLeft w:val="0"/>
      <w:marRight w:val="0"/>
      <w:marTop w:val="0"/>
      <w:marBottom w:val="0"/>
      <w:divBdr>
        <w:top w:val="none" w:sz="0" w:space="0" w:color="auto"/>
        <w:left w:val="none" w:sz="0" w:space="0" w:color="auto"/>
        <w:bottom w:val="none" w:sz="0" w:space="0" w:color="auto"/>
        <w:right w:val="none" w:sz="0" w:space="0" w:color="auto"/>
      </w:divBdr>
    </w:div>
    <w:div w:id="495849116">
      <w:bodyDiv w:val="1"/>
      <w:marLeft w:val="0"/>
      <w:marRight w:val="0"/>
      <w:marTop w:val="0"/>
      <w:marBottom w:val="0"/>
      <w:divBdr>
        <w:top w:val="none" w:sz="0" w:space="0" w:color="auto"/>
        <w:left w:val="none" w:sz="0" w:space="0" w:color="auto"/>
        <w:bottom w:val="none" w:sz="0" w:space="0" w:color="auto"/>
        <w:right w:val="none" w:sz="0" w:space="0" w:color="auto"/>
      </w:divBdr>
      <w:divsChild>
        <w:div w:id="1506631941">
          <w:marLeft w:val="0"/>
          <w:marRight w:val="0"/>
          <w:marTop w:val="0"/>
          <w:marBottom w:val="0"/>
          <w:divBdr>
            <w:top w:val="none" w:sz="0" w:space="0" w:color="auto"/>
            <w:left w:val="none" w:sz="0" w:space="0" w:color="auto"/>
            <w:bottom w:val="none" w:sz="0" w:space="0" w:color="auto"/>
            <w:right w:val="none" w:sz="0" w:space="0" w:color="auto"/>
          </w:divBdr>
          <w:divsChild>
            <w:div w:id="8488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901">
      <w:bodyDiv w:val="1"/>
      <w:marLeft w:val="0"/>
      <w:marRight w:val="0"/>
      <w:marTop w:val="0"/>
      <w:marBottom w:val="0"/>
      <w:divBdr>
        <w:top w:val="none" w:sz="0" w:space="0" w:color="auto"/>
        <w:left w:val="none" w:sz="0" w:space="0" w:color="auto"/>
        <w:bottom w:val="none" w:sz="0" w:space="0" w:color="auto"/>
        <w:right w:val="none" w:sz="0" w:space="0" w:color="auto"/>
      </w:divBdr>
    </w:div>
    <w:div w:id="526602772">
      <w:bodyDiv w:val="1"/>
      <w:marLeft w:val="0"/>
      <w:marRight w:val="0"/>
      <w:marTop w:val="0"/>
      <w:marBottom w:val="0"/>
      <w:divBdr>
        <w:top w:val="none" w:sz="0" w:space="0" w:color="auto"/>
        <w:left w:val="none" w:sz="0" w:space="0" w:color="auto"/>
        <w:bottom w:val="none" w:sz="0" w:space="0" w:color="auto"/>
        <w:right w:val="none" w:sz="0" w:space="0" w:color="auto"/>
      </w:divBdr>
    </w:div>
    <w:div w:id="544679344">
      <w:bodyDiv w:val="1"/>
      <w:marLeft w:val="0"/>
      <w:marRight w:val="0"/>
      <w:marTop w:val="0"/>
      <w:marBottom w:val="0"/>
      <w:divBdr>
        <w:top w:val="none" w:sz="0" w:space="0" w:color="auto"/>
        <w:left w:val="none" w:sz="0" w:space="0" w:color="auto"/>
        <w:bottom w:val="none" w:sz="0" w:space="0" w:color="auto"/>
        <w:right w:val="none" w:sz="0" w:space="0" w:color="auto"/>
      </w:divBdr>
    </w:div>
    <w:div w:id="557977558">
      <w:bodyDiv w:val="1"/>
      <w:marLeft w:val="0"/>
      <w:marRight w:val="0"/>
      <w:marTop w:val="0"/>
      <w:marBottom w:val="0"/>
      <w:divBdr>
        <w:top w:val="none" w:sz="0" w:space="0" w:color="auto"/>
        <w:left w:val="none" w:sz="0" w:space="0" w:color="auto"/>
        <w:bottom w:val="none" w:sz="0" w:space="0" w:color="auto"/>
        <w:right w:val="none" w:sz="0" w:space="0" w:color="auto"/>
      </w:divBdr>
      <w:divsChild>
        <w:div w:id="1175221027">
          <w:marLeft w:val="0"/>
          <w:marRight w:val="0"/>
          <w:marTop w:val="0"/>
          <w:marBottom w:val="0"/>
          <w:divBdr>
            <w:top w:val="none" w:sz="0" w:space="0" w:color="auto"/>
            <w:left w:val="none" w:sz="0" w:space="0" w:color="auto"/>
            <w:bottom w:val="none" w:sz="0" w:space="0" w:color="auto"/>
            <w:right w:val="none" w:sz="0" w:space="0" w:color="auto"/>
          </w:divBdr>
          <w:divsChild>
            <w:div w:id="1582177847">
              <w:marLeft w:val="0"/>
              <w:marRight w:val="0"/>
              <w:marTop w:val="0"/>
              <w:marBottom w:val="0"/>
              <w:divBdr>
                <w:top w:val="none" w:sz="0" w:space="0" w:color="auto"/>
                <w:left w:val="none" w:sz="0" w:space="0" w:color="auto"/>
                <w:bottom w:val="none" w:sz="0" w:space="0" w:color="auto"/>
                <w:right w:val="none" w:sz="0" w:space="0" w:color="auto"/>
              </w:divBdr>
              <w:divsChild>
                <w:div w:id="587619360">
                  <w:marLeft w:val="0"/>
                  <w:marRight w:val="0"/>
                  <w:marTop w:val="0"/>
                  <w:marBottom w:val="0"/>
                  <w:divBdr>
                    <w:top w:val="none" w:sz="0" w:space="0" w:color="auto"/>
                    <w:left w:val="none" w:sz="0" w:space="0" w:color="auto"/>
                    <w:bottom w:val="none" w:sz="0" w:space="0" w:color="auto"/>
                    <w:right w:val="none" w:sz="0" w:space="0" w:color="auto"/>
                  </w:divBdr>
                  <w:divsChild>
                    <w:div w:id="1779836952">
                      <w:marLeft w:val="0"/>
                      <w:marRight w:val="0"/>
                      <w:marTop w:val="0"/>
                      <w:marBottom w:val="0"/>
                      <w:divBdr>
                        <w:top w:val="single" w:sz="6" w:space="0" w:color="DCD9D9"/>
                        <w:left w:val="single" w:sz="6" w:space="0" w:color="DCD9D9"/>
                        <w:bottom w:val="single" w:sz="2" w:space="0" w:color="DCD9D9"/>
                        <w:right w:val="single" w:sz="6" w:space="0" w:color="DCD9D9"/>
                      </w:divBdr>
                      <w:divsChild>
                        <w:div w:id="565801004">
                          <w:marLeft w:val="0"/>
                          <w:marRight w:val="-100"/>
                          <w:marTop w:val="450"/>
                          <w:marBottom w:val="0"/>
                          <w:divBdr>
                            <w:top w:val="none" w:sz="0" w:space="0" w:color="auto"/>
                            <w:left w:val="none" w:sz="0" w:space="0" w:color="auto"/>
                            <w:bottom w:val="none" w:sz="0" w:space="0" w:color="auto"/>
                            <w:right w:val="none" w:sz="0" w:space="0" w:color="auto"/>
                          </w:divBdr>
                          <w:divsChild>
                            <w:div w:id="1013458100">
                              <w:marLeft w:val="0"/>
                              <w:marRight w:val="0"/>
                              <w:marTop w:val="0"/>
                              <w:marBottom w:val="0"/>
                              <w:divBdr>
                                <w:top w:val="none" w:sz="0" w:space="0" w:color="auto"/>
                                <w:left w:val="none" w:sz="0" w:space="0" w:color="auto"/>
                                <w:bottom w:val="none" w:sz="0" w:space="0" w:color="auto"/>
                                <w:right w:val="none" w:sz="0" w:space="0" w:color="auto"/>
                              </w:divBdr>
                              <w:divsChild>
                                <w:div w:id="1202673201">
                                  <w:marLeft w:val="0"/>
                                  <w:marRight w:val="0"/>
                                  <w:marTop w:val="0"/>
                                  <w:marBottom w:val="0"/>
                                  <w:divBdr>
                                    <w:top w:val="none" w:sz="0" w:space="0" w:color="auto"/>
                                    <w:left w:val="none" w:sz="0" w:space="0" w:color="auto"/>
                                    <w:bottom w:val="none" w:sz="0" w:space="0" w:color="auto"/>
                                    <w:right w:val="none" w:sz="0" w:space="0" w:color="auto"/>
                                  </w:divBdr>
                                  <w:divsChild>
                                    <w:div w:id="441648710">
                                      <w:marLeft w:val="0"/>
                                      <w:marRight w:val="0"/>
                                      <w:marTop w:val="0"/>
                                      <w:marBottom w:val="0"/>
                                      <w:divBdr>
                                        <w:top w:val="none" w:sz="0" w:space="0" w:color="auto"/>
                                        <w:left w:val="none" w:sz="0" w:space="0" w:color="auto"/>
                                        <w:bottom w:val="none" w:sz="0" w:space="0" w:color="auto"/>
                                        <w:right w:val="none" w:sz="0" w:space="0" w:color="auto"/>
                                      </w:divBdr>
                                      <w:divsChild>
                                        <w:div w:id="1768697289">
                                          <w:marLeft w:val="0"/>
                                          <w:marRight w:val="0"/>
                                          <w:marTop w:val="0"/>
                                          <w:marBottom w:val="360"/>
                                          <w:divBdr>
                                            <w:top w:val="none" w:sz="0" w:space="0" w:color="auto"/>
                                            <w:left w:val="none" w:sz="0" w:space="0" w:color="auto"/>
                                            <w:bottom w:val="none" w:sz="0" w:space="0" w:color="auto"/>
                                            <w:right w:val="none" w:sz="0" w:space="0" w:color="auto"/>
                                          </w:divBdr>
                                          <w:divsChild>
                                            <w:div w:id="871191470">
                                              <w:marLeft w:val="0"/>
                                              <w:marRight w:val="0"/>
                                              <w:marTop w:val="0"/>
                                              <w:marBottom w:val="0"/>
                                              <w:divBdr>
                                                <w:top w:val="none" w:sz="0" w:space="0" w:color="auto"/>
                                                <w:left w:val="none" w:sz="0" w:space="0" w:color="auto"/>
                                                <w:bottom w:val="none" w:sz="0" w:space="0" w:color="auto"/>
                                                <w:right w:val="none" w:sz="0" w:space="0" w:color="auto"/>
                                              </w:divBdr>
                                              <w:divsChild>
                                                <w:div w:id="292249658">
                                                  <w:marLeft w:val="0"/>
                                                  <w:marRight w:val="0"/>
                                                  <w:marTop w:val="0"/>
                                                  <w:marBottom w:val="0"/>
                                                  <w:divBdr>
                                                    <w:top w:val="none" w:sz="0" w:space="0" w:color="auto"/>
                                                    <w:left w:val="none" w:sz="0" w:space="0" w:color="auto"/>
                                                    <w:bottom w:val="none" w:sz="0" w:space="0" w:color="auto"/>
                                                    <w:right w:val="none" w:sz="0" w:space="0" w:color="auto"/>
                                                  </w:divBdr>
                                                  <w:divsChild>
                                                    <w:div w:id="1661808617">
                                                      <w:marLeft w:val="0"/>
                                                      <w:marRight w:val="0"/>
                                                      <w:marTop w:val="0"/>
                                                      <w:marBottom w:val="0"/>
                                                      <w:divBdr>
                                                        <w:top w:val="none" w:sz="0" w:space="0" w:color="auto"/>
                                                        <w:left w:val="none" w:sz="0" w:space="0" w:color="auto"/>
                                                        <w:bottom w:val="none" w:sz="0" w:space="0" w:color="auto"/>
                                                        <w:right w:val="none" w:sz="0" w:space="0" w:color="auto"/>
                                                      </w:divBdr>
                                                      <w:divsChild>
                                                        <w:div w:id="1239291488">
                                                          <w:marLeft w:val="0"/>
                                                          <w:marRight w:val="0"/>
                                                          <w:marTop w:val="0"/>
                                                          <w:marBottom w:val="0"/>
                                                          <w:divBdr>
                                                            <w:top w:val="none" w:sz="0" w:space="0" w:color="auto"/>
                                                            <w:left w:val="none" w:sz="0" w:space="0" w:color="auto"/>
                                                            <w:bottom w:val="none" w:sz="0" w:space="0" w:color="auto"/>
                                                            <w:right w:val="none" w:sz="0" w:space="0" w:color="auto"/>
                                                          </w:divBdr>
                                                          <w:divsChild>
                                                            <w:div w:id="163782927">
                                                              <w:marLeft w:val="0"/>
                                                              <w:marRight w:val="0"/>
                                                              <w:marTop w:val="0"/>
                                                              <w:marBottom w:val="0"/>
                                                              <w:divBdr>
                                                                <w:top w:val="none" w:sz="0" w:space="0" w:color="auto"/>
                                                                <w:left w:val="none" w:sz="0" w:space="0" w:color="auto"/>
                                                                <w:bottom w:val="none" w:sz="0" w:space="0" w:color="auto"/>
                                                                <w:right w:val="none" w:sz="0" w:space="0" w:color="auto"/>
                                                              </w:divBdr>
                                                              <w:divsChild>
                                                                <w:div w:id="1343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0358932">
      <w:bodyDiv w:val="1"/>
      <w:marLeft w:val="0"/>
      <w:marRight w:val="0"/>
      <w:marTop w:val="0"/>
      <w:marBottom w:val="0"/>
      <w:divBdr>
        <w:top w:val="none" w:sz="0" w:space="0" w:color="auto"/>
        <w:left w:val="none" w:sz="0" w:space="0" w:color="auto"/>
        <w:bottom w:val="none" w:sz="0" w:space="0" w:color="auto"/>
        <w:right w:val="none" w:sz="0" w:space="0" w:color="auto"/>
      </w:divBdr>
      <w:divsChild>
        <w:div w:id="1416635722">
          <w:marLeft w:val="0"/>
          <w:marRight w:val="0"/>
          <w:marTop w:val="0"/>
          <w:marBottom w:val="0"/>
          <w:divBdr>
            <w:top w:val="none" w:sz="0" w:space="0" w:color="auto"/>
            <w:left w:val="none" w:sz="0" w:space="0" w:color="auto"/>
            <w:bottom w:val="none" w:sz="0" w:space="0" w:color="auto"/>
            <w:right w:val="none" w:sz="0" w:space="0" w:color="auto"/>
          </w:divBdr>
          <w:divsChild>
            <w:div w:id="480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867">
      <w:bodyDiv w:val="1"/>
      <w:marLeft w:val="0"/>
      <w:marRight w:val="0"/>
      <w:marTop w:val="0"/>
      <w:marBottom w:val="0"/>
      <w:divBdr>
        <w:top w:val="none" w:sz="0" w:space="0" w:color="auto"/>
        <w:left w:val="none" w:sz="0" w:space="0" w:color="auto"/>
        <w:bottom w:val="none" w:sz="0" w:space="0" w:color="auto"/>
        <w:right w:val="none" w:sz="0" w:space="0" w:color="auto"/>
      </w:divBdr>
      <w:divsChild>
        <w:div w:id="1237133162">
          <w:marLeft w:val="0"/>
          <w:marRight w:val="0"/>
          <w:marTop w:val="0"/>
          <w:marBottom w:val="0"/>
          <w:divBdr>
            <w:top w:val="none" w:sz="0" w:space="0" w:color="auto"/>
            <w:left w:val="none" w:sz="0" w:space="0" w:color="auto"/>
            <w:bottom w:val="none" w:sz="0" w:space="0" w:color="auto"/>
            <w:right w:val="none" w:sz="0" w:space="0" w:color="auto"/>
          </w:divBdr>
          <w:divsChild>
            <w:div w:id="8757004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35255492">
      <w:bodyDiv w:val="1"/>
      <w:marLeft w:val="0"/>
      <w:marRight w:val="0"/>
      <w:marTop w:val="0"/>
      <w:marBottom w:val="0"/>
      <w:divBdr>
        <w:top w:val="none" w:sz="0" w:space="0" w:color="auto"/>
        <w:left w:val="none" w:sz="0" w:space="0" w:color="auto"/>
        <w:bottom w:val="none" w:sz="0" w:space="0" w:color="auto"/>
        <w:right w:val="none" w:sz="0" w:space="0" w:color="auto"/>
      </w:divBdr>
    </w:div>
    <w:div w:id="644703925">
      <w:bodyDiv w:val="1"/>
      <w:marLeft w:val="0"/>
      <w:marRight w:val="0"/>
      <w:marTop w:val="0"/>
      <w:marBottom w:val="0"/>
      <w:divBdr>
        <w:top w:val="none" w:sz="0" w:space="0" w:color="auto"/>
        <w:left w:val="none" w:sz="0" w:space="0" w:color="auto"/>
        <w:bottom w:val="none" w:sz="0" w:space="0" w:color="auto"/>
        <w:right w:val="none" w:sz="0" w:space="0" w:color="auto"/>
      </w:divBdr>
      <w:divsChild>
        <w:div w:id="1489639453">
          <w:marLeft w:val="0"/>
          <w:marRight w:val="0"/>
          <w:marTop w:val="0"/>
          <w:marBottom w:val="0"/>
          <w:divBdr>
            <w:top w:val="none" w:sz="0" w:space="0" w:color="auto"/>
            <w:left w:val="none" w:sz="0" w:space="0" w:color="auto"/>
            <w:bottom w:val="none" w:sz="0" w:space="0" w:color="auto"/>
            <w:right w:val="none" w:sz="0" w:space="0" w:color="auto"/>
          </w:divBdr>
          <w:divsChild>
            <w:div w:id="306858552">
              <w:marLeft w:val="0"/>
              <w:marRight w:val="0"/>
              <w:marTop w:val="0"/>
              <w:marBottom w:val="0"/>
              <w:divBdr>
                <w:top w:val="none" w:sz="0" w:space="0" w:color="auto"/>
                <w:left w:val="none" w:sz="0" w:space="0" w:color="auto"/>
                <w:bottom w:val="none" w:sz="0" w:space="0" w:color="auto"/>
                <w:right w:val="none" w:sz="0" w:space="0" w:color="auto"/>
              </w:divBdr>
              <w:divsChild>
                <w:div w:id="563612680">
                  <w:marLeft w:val="0"/>
                  <w:marRight w:val="0"/>
                  <w:marTop w:val="0"/>
                  <w:marBottom w:val="0"/>
                  <w:divBdr>
                    <w:top w:val="none" w:sz="0" w:space="0" w:color="auto"/>
                    <w:left w:val="none" w:sz="0" w:space="0" w:color="auto"/>
                    <w:bottom w:val="none" w:sz="0" w:space="0" w:color="auto"/>
                    <w:right w:val="none" w:sz="0" w:space="0" w:color="auto"/>
                  </w:divBdr>
                  <w:divsChild>
                    <w:div w:id="1600990072">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725646342">
      <w:bodyDiv w:val="1"/>
      <w:marLeft w:val="0"/>
      <w:marRight w:val="0"/>
      <w:marTop w:val="0"/>
      <w:marBottom w:val="0"/>
      <w:divBdr>
        <w:top w:val="none" w:sz="0" w:space="0" w:color="auto"/>
        <w:left w:val="none" w:sz="0" w:space="0" w:color="auto"/>
        <w:bottom w:val="none" w:sz="0" w:space="0" w:color="auto"/>
        <w:right w:val="none" w:sz="0" w:space="0" w:color="auto"/>
      </w:divBdr>
      <w:divsChild>
        <w:div w:id="1817406309">
          <w:marLeft w:val="0"/>
          <w:marRight w:val="0"/>
          <w:marTop w:val="0"/>
          <w:marBottom w:val="0"/>
          <w:divBdr>
            <w:top w:val="none" w:sz="0" w:space="0" w:color="auto"/>
            <w:left w:val="none" w:sz="0" w:space="0" w:color="auto"/>
            <w:bottom w:val="none" w:sz="0" w:space="0" w:color="auto"/>
            <w:right w:val="none" w:sz="0" w:space="0" w:color="auto"/>
          </w:divBdr>
          <w:divsChild>
            <w:div w:id="800147667">
              <w:marLeft w:val="0"/>
              <w:marRight w:val="0"/>
              <w:marTop w:val="0"/>
              <w:marBottom w:val="0"/>
              <w:divBdr>
                <w:top w:val="none" w:sz="0" w:space="0" w:color="auto"/>
                <w:left w:val="none" w:sz="0" w:space="0" w:color="auto"/>
                <w:bottom w:val="none" w:sz="0" w:space="0" w:color="auto"/>
                <w:right w:val="none" w:sz="0" w:space="0" w:color="auto"/>
              </w:divBdr>
              <w:divsChild>
                <w:div w:id="806632687">
                  <w:marLeft w:val="0"/>
                  <w:marRight w:val="0"/>
                  <w:marTop w:val="0"/>
                  <w:marBottom w:val="0"/>
                  <w:divBdr>
                    <w:top w:val="none" w:sz="0" w:space="0" w:color="auto"/>
                    <w:left w:val="none" w:sz="0" w:space="0" w:color="auto"/>
                    <w:bottom w:val="none" w:sz="0" w:space="0" w:color="auto"/>
                    <w:right w:val="none" w:sz="0" w:space="0" w:color="auto"/>
                  </w:divBdr>
                  <w:divsChild>
                    <w:div w:id="1427799327">
                      <w:marLeft w:val="0"/>
                      <w:marRight w:val="0"/>
                      <w:marTop w:val="0"/>
                      <w:marBottom w:val="0"/>
                      <w:divBdr>
                        <w:top w:val="none" w:sz="0" w:space="0" w:color="auto"/>
                        <w:left w:val="none" w:sz="0" w:space="0" w:color="auto"/>
                        <w:bottom w:val="none" w:sz="0" w:space="0" w:color="auto"/>
                        <w:right w:val="none" w:sz="0" w:space="0" w:color="auto"/>
                      </w:divBdr>
                      <w:divsChild>
                        <w:div w:id="636031593">
                          <w:marLeft w:val="0"/>
                          <w:marRight w:val="0"/>
                          <w:marTop w:val="0"/>
                          <w:marBottom w:val="0"/>
                          <w:divBdr>
                            <w:top w:val="none" w:sz="0" w:space="0" w:color="auto"/>
                            <w:left w:val="none" w:sz="0" w:space="0" w:color="auto"/>
                            <w:bottom w:val="none" w:sz="0" w:space="0" w:color="auto"/>
                            <w:right w:val="none" w:sz="0" w:space="0" w:color="auto"/>
                          </w:divBdr>
                          <w:divsChild>
                            <w:div w:id="221332626">
                              <w:marLeft w:val="0"/>
                              <w:marRight w:val="0"/>
                              <w:marTop w:val="0"/>
                              <w:marBottom w:val="0"/>
                              <w:divBdr>
                                <w:top w:val="none" w:sz="0" w:space="0" w:color="auto"/>
                                <w:left w:val="none" w:sz="0" w:space="0" w:color="auto"/>
                                <w:bottom w:val="none" w:sz="0" w:space="0" w:color="auto"/>
                                <w:right w:val="none" w:sz="0" w:space="0" w:color="auto"/>
                              </w:divBdr>
                              <w:divsChild>
                                <w:div w:id="14589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927756">
      <w:bodyDiv w:val="1"/>
      <w:marLeft w:val="0"/>
      <w:marRight w:val="0"/>
      <w:marTop w:val="0"/>
      <w:marBottom w:val="0"/>
      <w:divBdr>
        <w:top w:val="none" w:sz="0" w:space="0" w:color="auto"/>
        <w:left w:val="none" w:sz="0" w:space="0" w:color="auto"/>
        <w:bottom w:val="none" w:sz="0" w:space="0" w:color="auto"/>
        <w:right w:val="none" w:sz="0" w:space="0" w:color="auto"/>
      </w:divBdr>
    </w:div>
    <w:div w:id="777263538">
      <w:bodyDiv w:val="1"/>
      <w:marLeft w:val="0"/>
      <w:marRight w:val="0"/>
      <w:marTop w:val="0"/>
      <w:marBottom w:val="0"/>
      <w:divBdr>
        <w:top w:val="none" w:sz="0" w:space="0" w:color="auto"/>
        <w:left w:val="none" w:sz="0" w:space="0" w:color="auto"/>
        <w:bottom w:val="none" w:sz="0" w:space="0" w:color="auto"/>
        <w:right w:val="none" w:sz="0" w:space="0" w:color="auto"/>
      </w:divBdr>
    </w:div>
    <w:div w:id="778109156">
      <w:bodyDiv w:val="1"/>
      <w:marLeft w:val="0"/>
      <w:marRight w:val="0"/>
      <w:marTop w:val="0"/>
      <w:marBottom w:val="0"/>
      <w:divBdr>
        <w:top w:val="none" w:sz="0" w:space="0" w:color="auto"/>
        <w:left w:val="none" w:sz="0" w:space="0" w:color="auto"/>
        <w:bottom w:val="none" w:sz="0" w:space="0" w:color="auto"/>
        <w:right w:val="none" w:sz="0" w:space="0" w:color="auto"/>
      </w:divBdr>
      <w:divsChild>
        <w:div w:id="1329863326">
          <w:marLeft w:val="0"/>
          <w:marRight w:val="0"/>
          <w:marTop w:val="0"/>
          <w:marBottom w:val="0"/>
          <w:divBdr>
            <w:top w:val="none" w:sz="0" w:space="0" w:color="auto"/>
            <w:left w:val="none" w:sz="0" w:space="0" w:color="auto"/>
            <w:bottom w:val="none" w:sz="0" w:space="0" w:color="auto"/>
            <w:right w:val="none" w:sz="0" w:space="0" w:color="auto"/>
          </w:divBdr>
          <w:divsChild>
            <w:div w:id="166108199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5660269">
      <w:bodyDiv w:val="1"/>
      <w:marLeft w:val="0"/>
      <w:marRight w:val="0"/>
      <w:marTop w:val="0"/>
      <w:marBottom w:val="0"/>
      <w:divBdr>
        <w:top w:val="none" w:sz="0" w:space="0" w:color="auto"/>
        <w:left w:val="none" w:sz="0" w:space="0" w:color="auto"/>
        <w:bottom w:val="none" w:sz="0" w:space="0" w:color="auto"/>
        <w:right w:val="none" w:sz="0" w:space="0" w:color="auto"/>
      </w:divBdr>
      <w:divsChild>
        <w:div w:id="1091968520">
          <w:marLeft w:val="0"/>
          <w:marRight w:val="0"/>
          <w:marTop w:val="0"/>
          <w:marBottom w:val="0"/>
          <w:divBdr>
            <w:top w:val="none" w:sz="0" w:space="0" w:color="auto"/>
            <w:left w:val="none" w:sz="0" w:space="0" w:color="auto"/>
            <w:bottom w:val="none" w:sz="0" w:space="0" w:color="auto"/>
            <w:right w:val="none" w:sz="0" w:space="0" w:color="auto"/>
          </w:divBdr>
          <w:divsChild>
            <w:div w:id="2104183945">
              <w:marLeft w:val="0"/>
              <w:marRight w:val="0"/>
              <w:marTop w:val="0"/>
              <w:marBottom w:val="0"/>
              <w:divBdr>
                <w:top w:val="none" w:sz="0" w:space="0" w:color="auto"/>
                <w:left w:val="none" w:sz="0" w:space="0" w:color="auto"/>
                <w:bottom w:val="none" w:sz="0" w:space="0" w:color="auto"/>
                <w:right w:val="none" w:sz="0" w:space="0" w:color="auto"/>
              </w:divBdr>
              <w:divsChild>
                <w:div w:id="1145465780">
                  <w:marLeft w:val="0"/>
                  <w:marRight w:val="0"/>
                  <w:marTop w:val="0"/>
                  <w:marBottom w:val="0"/>
                  <w:divBdr>
                    <w:top w:val="none" w:sz="0" w:space="0" w:color="auto"/>
                    <w:left w:val="none" w:sz="0" w:space="0" w:color="auto"/>
                    <w:bottom w:val="none" w:sz="0" w:space="0" w:color="auto"/>
                    <w:right w:val="none" w:sz="0" w:space="0" w:color="auto"/>
                  </w:divBdr>
                  <w:divsChild>
                    <w:div w:id="1906600352">
                      <w:marLeft w:val="0"/>
                      <w:marRight w:val="0"/>
                      <w:marTop w:val="0"/>
                      <w:marBottom w:val="0"/>
                      <w:divBdr>
                        <w:top w:val="none" w:sz="0" w:space="0" w:color="auto"/>
                        <w:left w:val="none" w:sz="0" w:space="0" w:color="auto"/>
                        <w:bottom w:val="none" w:sz="0" w:space="0" w:color="auto"/>
                        <w:right w:val="none" w:sz="0" w:space="0" w:color="auto"/>
                      </w:divBdr>
                      <w:divsChild>
                        <w:div w:id="407074767">
                          <w:marLeft w:val="0"/>
                          <w:marRight w:val="0"/>
                          <w:marTop w:val="0"/>
                          <w:marBottom w:val="0"/>
                          <w:divBdr>
                            <w:top w:val="none" w:sz="0" w:space="0" w:color="auto"/>
                            <w:left w:val="none" w:sz="0" w:space="0" w:color="auto"/>
                            <w:bottom w:val="none" w:sz="0" w:space="0" w:color="auto"/>
                            <w:right w:val="none" w:sz="0" w:space="0" w:color="auto"/>
                          </w:divBdr>
                          <w:divsChild>
                            <w:div w:id="1747990709">
                              <w:marLeft w:val="0"/>
                              <w:marRight w:val="0"/>
                              <w:marTop w:val="0"/>
                              <w:marBottom w:val="0"/>
                              <w:divBdr>
                                <w:top w:val="none" w:sz="0" w:space="0" w:color="auto"/>
                                <w:left w:val="none" w:sz="0" w:space="0" w:color="auto"/>
                                <w:bottom w:val="none" w:sz="0" w:space="0" w:color="auto"/>
                                <w:right w:val="none" w:sz="0" w:space="0" w:color="auto"/>
                              </w:divBdr>
                              <w:divsChild>
                                <w:div w:id="5721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219092">
      <w:bodyDiv w:val="1"/>
      <w:marLeft w:val="0"/>
      <w:marRight w:val="0"/>
      <w:marTop w:val="0"/>
      <w:marBottom w:val="0"/>
      <w:divBdr>
        <w:top w:val="none" w:sz="0" w:space="0" w:color="auto"/>
        <w:left w:val="none" w:sz="0" w:space="0" w:color="auto"/>
        <w:bottom w:val="none" w:sz="0" w:space="0" w:color="auto"/>
        <w:right w:val="none" w:sz="0" w:space="0" w:color="auto"/>
      </w:divBdr>
    </w:div>
    <w:div w:id="851067194">
      <w:bodyDiv w:val="1"/>
      <w:marLeft w:val="0"/>
      <w:marRight w:val="0"/>
      <w:marTop w:val="0"/>
      <w:marBottom w:val="0"/>
      <w:divBdr>
        <w:top w:val="none" w:sz="0" w:space="0" w:color="auto"/>
        <w:left w:val="none" w:sz="0" w:space="0" w:color="auto"/>
        <w:bottom w:val="none" w:sz="0" w:space="0" w:color="auto"/>
        <w:right w:val="none" w:sz="0" w:space="0" w:color="auto"/>
      </w:divBdr>
      <w:divsChild>
        <w:div w:id="1186600352">
          <w:marLeft w:val="0"/>
          <w:marRight w:val="0"/>
          <w:marTop w:val="0"/>
          <w:marBottom w:val="0"/>
          <w:divBdr>
            <w:top w:val="none" w:sz="0" w:space="0" w:color="auto"/>
            <w:left w:val="none" w:sz="0" w:space="0" w:color="auto"/>
            <w:bottom w:val="none" w:sz="0" w:space="0" w:color="auto"/>
            <w:right w:val="none" w:sz="0" w:space="0" w:color="auto"/>
          </w:divBdr>
          <w:divsChild>
            <w:div w:id="1966080145">
              <w:marLeft w:val="0"/>
              <w:marRight w:val="0"/>
              <w:marTop w:val="0"/>
              <w:marBottom w:val="0"/>
              <w:divBdr>
                <w:top w:val="none" w:sz="0" w:space="0" w:color="auto"/>
                <w:left w:val="none" w:sz="0" w:space="0" w:color="auto"/>
                <w:bottom w:val="none" w:sz="0" w:space="0" w:color="auto"/>
                <w:right w:val="none" w:sz="0" w:space="0" w:color="auto"/>
              </w:divBdr>
              <w:divsChild>
                <w:div w:id="246043663">
                  <w:marLeft w:val="0"/>
                  <w:marRight w:val="0"/>
                  <w:marTop w:val="0"/>
                  <w:marBottom w:val="0"/>
                  <w:divBdr>
                    <w:top w:val="none" w:sz="0" w:space="0" w:color="auto"/>
                    <w:left w:val="none" w:sz="0" w:space="0" w:color="auto"/>
                    <w:bottom w:val="none" w:sz="0" w:space="0" w:color="auto"/>
                    <w:right w:val="none" w:sz="0" w:space="0" w:color="auto"/>
                  </w:divBdr>
                  <w:divsChild>
                    <w:div w:id="884024163">
                      <w:marLeft w:val="0"/>
                      <w:marRight w:val="0"/>
                      <w:marTop w:val="0"/>
                      <w:marBottom w:val="0"/>
                      <w:divBdr>
                        <w:top w:val="none" w:sz="0" w:space="0" w:color="auto"/>
                        <w:left w:val="none" w:sz="0" w:space="0" w:color="auto"/>
                        <w:bottom w:val="none" w:sz="0" w:space="0" w:color="auto"/>
                        <w:right w:val="none" w:sz="0" w:space="0" w:color="auto"/>
                      </w:divBdr>
                      <w:divsChild>
                        <w:div w:id="281156661">
                          <w:marLeft w:val="0"/>
                          <w:marRight w:val="0"/>
                          <w:marTop w:val="0"/>
                          <w:marBottom w:val="0"/>
                          <w:divBdr>
                            <w:top w:val="none" w:sz="0" w:space="0" w:color="auto"/>
                            <w:left w:val="none" w:sz="0" w:space="0" w:color="auto"/>
                            <w:bottom w:val="none" w:sz="0" w:space="0" w:color="auto"/>
                            <w:right w:val="none" w:sz="0" w:space="0" w:color="auto"/>
                          </w:divBdr>
                        </w:div>
                        <w:div w:id="9688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16440">
      <w:bodyDiv w:val="1"/>
      <w:marLeft w:val="0"/>
      <w:marRight w:val="0"/>
      <w:marTop w:val="0"/>
      <w:marBottom w:val="0"/>
      <w:divBdr>
        <w:top w:val="none" w:sz="0" w:space="0" w:color="auto"/>
        <w:left w:val="none" w:sz="0" w:space="0" w:color="auto"/>
        <w:bottom w:val="none" w:sz="0" w:space="0" w:color="auto"/>
        <w:right w:val="none" w:sz="0" w:space="0" w:color="auto"/>
      </w:divBdr>
    </w:div>
    <w:div w:id="872112580">
      <w:bodyDiv w:val="1"/>
      <w:marLeft w:val="0"/>
      <w:marRight w:val="0"/>
      <w:marTop w:val="0"/>
      <w:marBottom w:val="0"/>
      <w:divBdr>
        <w:top w:val="none" w:sz="0" w:space="0" w:color="auto"/>
        <w:left w:val="none" w:sz="0" w:space="0" w:color="auto"/>
        <w:bottom w:val="none" w:sz="0" w:space="0" w:color="auto"/>
        <w:right w:val="none" w:sz="0" w:space="0" w:color="auto"/>
      </w:divBdr>
    </w:div>
    <w:div w:id="883449309">
      <w:bodyDiv w:val="1"/>
      <w:marLeft w:val="0"/>
      <w:marRight w:val="0"/>
      <w:marTop w:val="0"/>
      <w:marBottom w:val="0"/>
      <w:divBdr>
        <w:top w:val="none" w:sz="0" w:space="0" w:color="auto"/>
        <w:left w:val="none" w:sz="0" w:space="0" w:color="auto"/>
        <w:bottom w:val="none" w:sz="0" w:space="0" w:color="auto"/>
        <w:right w:val="none" w:sz="0" w:space="0" w:color="auto"/>
      </w:divBdr>
    </w:div>
    <w:div w:id="901453514">
      <w:bodyDiv w:val="1"/>
      <w:marLeft w:val="0"/>
      <w:marRight w:val="0"/>
      <w:marTop w:val="0"/>
      <w:marBottom w:val="0"/>
      <w:divBdr>
        <w:top w:val="none" w:sz="0" w:space="0" w:color="auto"/>
        <w:left w:val="none" w:sz="0" w:space="0" w:color="auto"/>
        <w:bottom w:val="none" w:sz="0" w:space="0" w:color="auto"/>
        <w:right w:val="none" w:sz="0" w:space="0" w:color="auto"/>
      </w:divBdr>
    </w:div>
    <w:div w:id="971133224">
      <w:bodyDiv w:val="1"/>
      <w:marLeft w:val="0"/>
      <w:marRight w:val="0"/>
      <w:marTop w:val="0"/>
      <w:marBottom w:val="0"/>
      <w:divBdr>
        <w:top w:val="none" w:sz="0" w:space="0" w:color="auto"/>
        <w:left w:val="none" w:sz="0" w:space="0" w:color="auto"/>
        <w:bottom w:val="none" w:sz="0" w:space="0" w:color="auto"/>
        <w:right w:val="none" w:sz="0" w:space="0" w:color="auto"/>
      </w:divBdr>
      <w:divsChild>
        <w:div w:id="1974485705">
          <w:marLeft w:val="0"/>
          <w:marRight w:val="0"/>
          <w:marTop w:val="0"/>
          <w:marBottom w:val="0"/>
          <w:divBdr>
            <w:top w:val="none" w:sz="0" w:space="0" w:color="auto"/>
            <w:left w:val="none" w:sz="0" w:space="0" w:color="auto"/>
            <w:bottom w:val="none" w:sz="0" w:space="0" w:color="auto"/>
            <w:right w:val="none" w:sz="0" w:space="0" w:color="auto"/>
          </w:divBdr>
          <w:divsChild>
            <w:div w:id="2039114682">
              <w:marLeft w:val="0"/>
              <w:marRight w:val="0"/>
              <w:marTop w:val="0"/>
              <w:marBottom w:val="0"/>
              <w:divBdr>
                <w:top w:val="none" w:sz="0" w:space="0" w:color="auto"/>
                <w:left w:val="none" w:sz="0" w:space="0" w:color="auto"/>
                <w:bottom w:val="none" w:sz="0" w:space="0" w:color="auto"/>
                <w:right w:val="none" w:sz="0" w:space="0" w:color="auto"/>
              </w:divBdr>
              <w:divsChild>
                <w:div w:id="1214392603">
                  <w:marLeft w:val="0"/>
                  <w:marRight w:val="0"/>
                  <w:marTop w:val="0"/>
                  <w:marBottom w:val="0"/>
                  <w:divBdr>
                    <w:top w:val="none" w:sz="0" w:space="0" w:color="auto"/>
                    <w:left w:val="none" w:sz="0" w:space="0" w:color="auto"/>
                    <w:bottom w:val="none" w:sz="0" w:space="0" w:color="auto"/>
                    <w:right w:val="none" w:sz="0" w:space="0" w:color="auto"/>
                  </w:divBdr>
                  <w:divsChild>
                    <w:div w:id="1922830829">
                      <w:marLeft w:val="0"/>
                      <w:marRight w:val="0"/>
                      <w:marTop w:val="0"/>
                      <w:marBottom w:val="0"/>
                      <w:divBdr>
                        <w:top w:val="single" w:sz="6" w:space="0" w:color="DCD9D9"/>
                        <w:left w:val="single" w:sz="6" w:space="0" w:color="DCD9D9"/>
                        <w:bottom w:val="single" w:sz="2" w:space="0" w:color="DCD9D9"/>
                        <w:right w:val="single" w:sz="6" w:space="0" w:color="DCD9D9"/>
                      </w:divBdr>
                      <w:divsChild>
                        <w:div w:id="1215777643">
                          <w:marLeft w:val="0"/>
                          <w:marRight w:val="-100"/>
                          <w:marTop w:val="450"/>
                          <w:marBottom w:val="0"/>
                          <w:divBdr>
                            <w:top w:val="none" w:sz="0" w:space="0" w:color="auto"/>
                            <w:left w:val="none" w:sz="0" w:space="0" w:color="auto"/>
                            <w:bottom w:val="none" w:sz="0" w:space="0" w:color="auto"/>
                            <w:right w:val="none" w:sz="0" w:space="0" w:color="auto"/>
                          </w:divBdr>
                          <w:divsChild>
                            <w:div w:id="798570502">
                              <w:marLeft w:val="0"/>
                              <w:marRight w:val="0"/>
                              <w:marTop w:val="0"/>
                              <w:marBottom w:val="0"/>
                              <w:divBdr>
                                <w:top w:val="none" w:sz="0" w:space="0" w:color="auto"/>
                                <w:left w:val="none" w:sz="0" w:space="0" w:color="auto"/>
                                <w:bottom w:val="none" w:sz="0" w:space="0" w:color="auto"/>
                                <w:right w:val="none" w:sz="0" w:space="0" w:color="auto"/>
                              </w:divBdr>
                              <w:divsChild>
                                <w:div w:id="504707768">
                                  <w:marLeft w:val="0"/>
                                  <w:marRight w:val="0"/>
                                  <w:marTop w:val="0"/>
                                  <w:marBottom w:val="0"/>
                                  <w:divBdr>
                                    <w:top w:val="none" w:sz="0" w:space="0" w:color="auto"/>
                                    <w:left w:val="none" w:sz="0" w:space="0" w:color="auto"/>
                                    <w:bottom w:val="none" w:sz="0" w:space="0" w:color="auto"/>
                                    <w:right w:val="none" w:sz="0" w:space="0" w:color="auto"/>
                                  </w:divBdr>
                                  <w:divsChild>
                                    <w:div w:id="2043969125">
                                      <w:marLeft w:val="0"/>
                                      <w:marRight w:val="0"/>
                                      <w:marTop w:val="0"/>
                                      <w:marBottom w:val="0"/>
                                      <w:divBdr>
                                        <w:top w:val="none" w:sz="0" w:space="0" w:color="auto"/>
                                        <w:left w:val="none" w:sz="0" w:space="0" w:color="auto"/>
                                        <w:bottom w:val="none" w:sz="0" w:space="0" w:color="auto"/>
                                        <w:right w:val="none" w:sz="0" w:space="0" w:color="auto"/>
                                      </w:divBdr>
                                      <w:divsChild>
                                        <w:div w:id="1991251926">
                                          <w:marLeft w:val="0"/>
                                          <w:marRight w:val="0"/>
                                          <w:marTop w:val="0"/>
                                          <w:marBottom w:val="360"/>
                                          <w:divBdr>
                                            <w:top w:val="none" w:sz="0" w:space="0" w:color="auto"/>
                                            <w:left w:val="none" w:sz="0" w:space="0" w:color="auto"/>
                                            <w:bottom w:val="none" w:sz="0" w:space="0" w:color="auto"/>
                                            <w:right w:val="none" w:sz="0" w:space="0" w:color="auto"/>
                                          </w:divBdr>
                                          <w:divsChild>
                                            <w:div w:id="1394500097">
                                              <w:marLeft w:val="0"/>
                                              <w:marRight w:val="0"/>
                                              <w:marTop w:val="0"/>
                                              <w:marBottom w:val="0"/>
                                              <w:divBdr>
                                                <w:top w:val="none" w:sz="0" w:space="0" w:color="auto"/>
                                                <w:left w:val="none" w:sz="0" w:space="0" w:color="auto"/>
                                                <w:bottom w:val="none" w:sz="0" w:space="0" w:color="auto"/>
                                                <w:right w:val="none" w:sz="0" w:space="0" w:color="auto"/>
                                              </w:divBdr>
                                              <w:divsChild>
                                                <w:div w:id="994725816">
                                                  <w:marLeft w:val="0"/>
                                                  <w:marRight w:val="0"/>
                                                  <w:marTop w:val="0"/>
                                                  <w:marBottom w:val="0"/>
                                                  <w:divBdr>
                                                    <w:top w:val="none" w:sz="0" w:space="0" w:color="auto"/>
                                                    <w:left w:val="none" w:sz="0" w:space="0" w:color="auto"/>
                                                    <w:bottom w:val="none" w:sz="0" w:space="0" w:color="auto"/>
                                                    <w:right w:val="none" w:sz="0" w:space="0" w:color="auto"/>
                                                  </w:divBdr>
                                                  <w:divsChild>
                                                    <w:div w:id="2057389039">
                                                      <w:marLeft w:val="0"/>
                                                      <w:marRight w:val="0"/>
                                                      <w:marTop w:val="0"/>
                                                      <w:marBottom w:val="0"/>
                                                      <w:divBdr>
                                                        <w:top w:val="none" w:sz="0" w:space="0" w:color="auto"/>
                                                        <w:left w:val="none" w:sz="0" w:space="0" w:color="auto"/>
                                                        <w:bottom w:val="none" w:sz="0" w:space="0" w:color="auto"/>
                                                        <w:right w:val="none" w:sz="0" w:space="0" w:color="auto"/>
                                                      </w:divBdr>
                                                      <w:divsChild>
                                                        <w:div w:id="197090454">
                                                          <w:marLeft w:val="0"/>
                                                          <w:marRight w:val="0"/>
                                                          <w:marTop w:val="0"/>
                                                          <w:marBottom w:val="0"/>
                                                          <w:divBdr>
                                                            <w:top w:val="none" w:sz="0" w:space="0" w:color="auto"/>
                                                            <w:left w:val="none" w:sz="0" w:space="0" w:color="auto"/>
                                                            <w:bottom w:val="none" w:sz="0" w:space="0" w:color="auto"/>
                                                            <w:right w:val="none" w:sz="0" w:space="0" w:color="auto"/>
                                                          </w:divBdr>
                                                          <w:divsChild>
                                                            <w:div w:id="1500806463">
                                                              <w:marLeft w:val="0"/>
                                                              <w:marRight w:val="0"/>
                                                              <w:marTop w:val="0"/>
                                                              <w:marBottom w:val="0"/>
                                                              <w:divBdr>
                                                                <w:top w:val="none" w:sz="0" w:space="0" w:color="auto"/>
                                                                <w:left w:val="none" w:sz="0" w:space="0" w:color="auto"/>
                                                                <w:bottom w:val="none" w:sz="0" w:space="0" w:color="auto"/>
                                                                <w:right w:val="none" w:sz="0" w:space="0" w:color="auto"/>
                                                              </w:divBdr>
                                                              <w:divsChild>
                                                                <w:div w:id="20266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7302800">
      <w:bodyDiv w:val="1"/>
      <w:marLeft w:val="0"/>
      <w:marRight w:val="0"/>
      <w:marTop w:val="0"/>
      <w:marBottom w:val="0"/>
      <w:divBdr>
        <w:top w:val="none" w:sz="0" w:space="0" w:color="auto"/>
        <w:left w:val="none" w:sz="0" w:space="0" w:color="auto"/>
        <w:bottom w:val="none" w:sz="0" w:space="0" w:color="auto"/>
        <w:right w:val="none" w:sz="0" w:space="0" w:color="auto"/>
      </w:divBdr>
      <w:divsChild>
        <w:div w:id="993987840">
          <w:marLeft w:val="0"/>
          <w:marRight w:val="0"/>
          <w:marTop w:val="0"/>
          <w:marBottom w:val="0"/>
          <w:divBdr>
            <w:top w:val="none" w:sz="0" w:space="0" w:color="auto"/>
            <w:left w:val="none" w:sz="0" w:space="0" w:color="auto"/>
            <w:bottom w:val="none" w:sz="0" w:space="0" w:color="auto"/>
            <w:right w:val="none" w:sz="0" w:space="0" w:color="auto"/>
          </w:divBdr>
          <w:divsChild>
            <w:div w:id="1460033113">
              <w:marLeft w:val="0"/>
              <w:marRight w:val="0"/>
              <w:marTop w:val="0"/>
              <w:marBottom w:val="0"/>
              <w:divBdr>
                <w:top w:val="none" w:sz="0" w:space="0" w:color="auto"/>
                <w:left w:val="none" w:sz="0" w:space="0" w:color="auto"/>
                <w:bottom w:val="none" w:sz="0" w:space="0" w:color="auto"/>
                <w:right w:val="none" w:sz="0" w:space="0" w:color="auto"/>
              </w:divBdr>
              <w:divsChild>
                <w:div w:id="1161699389">
                  <w:marLeft w:val="0"/>
                  <w:marRight w:val="0"/>
                  <w:marTop w:val="0"/>
                  <w:marBottom w:val="0"/>
                  <w:divBdr>
                    <w:top w:val="none" w:sz="0" w:space="0" w:color="auto"/>
                    <w:left w:val="none" w:sz="0" w:space="0" w:color="auto"/>
                    <w:bottom w:val="none" w:sz="0" w:space="0" w:color="auto"/>
                    <w:right w:val="none" w:sz="0" w:space="0" w:color="auto"/>
                  </w:divBdr>
                  <w:divsChild>
                    <w:div w:id="386415642">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0"/>
                          <w:marBottom w:val="0"/>
                          <w:divBdr>
                            <w:top w:val="none" w:sz="0" w:space="0" w:color="auto"/>
                            <w:left w:val="none" w:sz="0" w:space="0" w:color="auto"/>
                            <w:bottom w:val="none" w:sz="0" w:space="0" w:color="auto"/>
                            <w:right w:val="none" w:sz="0" w:space="0" w:color="auto"/>
                          </w:divBdr>
                          <w:divsChild>
                            <w:div w:id="358548079">
                              <w:marLeft w:val="0"/>
                              <w:marRight w:val="0"/>
                              <w:marTop w:val="0"/>
                              <w:marBottom w:val="0"/>
                              <w:divBdr>
                                <w:top w:val="none" w:sz="0" w:space="0" w:color="auto"/>
                                <w:left w:val="none" w:sz="0" w:space="0" w:color="auto"/>
                                <w:bottom w:val="none" w:sz="0" w:space="0" w:color="auto"/>
                                <w:right w:val="none" w:sz="0" w:space="0" w:color="auto"/>
                              </w:divBdr>
                              <w:divsChild>
                                <w:div w:id="143203531">
                                  <w:marLeft w:val="0"/>
                                  <w:marRight w:val="0"/>
                                  <w:marTop w:val="0"/>
                                  <w:marBottom w:val="0"/>
                                  <w:divBdr>
                                    <w:top w:val="none" w:sz="0" w:space="0" w:color="auto"/>
                                    <w:left w:val="none" w:sz="0" w:space="0" w:color="auto"/>
                                    <w:bottom w:val="none" w:sz="0" w:space="0" w:color="auto"/>
                                    <w:right w:val="none" w:sz="0" w:space="0" w:color="auto"/>
                                  </w:divBdr>
                                  <w:divsChild>
                                    <w:div w:id="376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921225">
      <w:bodyDiv w:val="1"/>
      <w:marLeft w:val="0"/>
      <w:marRight w:val="0"/>
      <w:marTop w:val="0"/>
      <w:marBottom w:val="0"/>
      <w:divBdr>
        <w:top w:val="none" w:sz="0" w:space="0" w:color="auto"/>
        <w:left w:val="none" w:sz="0" w:space="0" w:color="auto"/>
        <w:bottom w:val="none" w:sz="0" w:space="0" w:color="auto"/>
        <w:right w:val="none" w:sz="0" w:space="0" w:color="auto"/>
      </w:divBdr>
    </w:div>
    <w:div w:id="998652564">
      <w:bodyDiv w:val="1"/>
      <w:marLeft w:val="0"/>
      <w:marRight w:val="0"/>
      <w:marTop w:val="0"/>
      <w:marBottom w:val="0"/>
      <w:divBdr>
        <w:top w:val="none" w:sz="0" w:space="0" w:color="auto"/>
        <w:left w:val="none" w:sz="0" w:space="0" w:color="auto"/>
        <w:bottom w:val="none" w:sz="0" w:space="0" w:color="auto"/>
        <w:right w:val="none" w:sz="0" w:space="0" w:color="auto"/>
      </w:divBdr>
    </w:div>
    <w:div w:id="1007250802">
      <w:bodyDiv w:val="1"/>
      <w:marLeft w:val="0"/>
      <w:marRight w:val="0"/>
      <w:marTop w:val="0"/>
      <w:marBottom w:val="0"/>
      <w:divBdr>
        <w:top w:val="none" w:sz="0" w:space="0" w:color="auto"/>
        <w:left w:val="none" w:sz="0" w:space="0" w:color="auto"/>
        <w:bottom w:val="none" w:sz="0" w:space="0" w:color="auto"/>
        <w:right w:val="none" w:sz="0" w:space="0" w:color="auto"/>
      </w:divBdr>
    </w:div>
    <w:div w:id="1030956833">
      <w:bodyDiv w:val="1"/>
      <w:marLeft w:val="0"/>
      <w:marRight w:val="0"/>
      <w:marTop w:val="0"/>
      <w:marBottom w:val="0"/>
      <w:divBdr>
        <w:top w:val="none" w:sz="0" w:space="0" w:color="auto"/>
        <w:left w:val="none" w:sz="0" w:space="0" w:color="auto"/>
        <w:bottom w:val="none" w:sz="0" w:space="0" w:color="auto"/>
        <w:right w:val="none" w:sz="0" w:space="0" w:color="auto"/>
      </w:divBdr>
      <w:divsChild>
        <w:div w:id="809905110">
          <w:marLeft w:val="0"/>
          <w:marRight w:val="0"/>
          <w:marTop w:val="0"/>
          <w:marBottom w:val="0"/>
          <w:divBdr>
            <w:top w:val="none" w:sz="0" w:space="0" w:color="auto"/>
            <w:left w:val="none" w:sz="0" w:space="0" w:color="auto"/>
            <w:bottom w:val="none" w:sz="0" w:space="0" w:color="auto"/>
            <w:right w:val="none" w:sz="0" w:space="0" w:color="auto"/>
          </w:divBdr>
          <w:divsChild>
            <w:div w:id="1371109836">
              <w:marLeft w:val="0"/>
              <w:marRight w:val="0"/>
              <w:marTop w:val="0"/>
              <w:marBottom w:val="0"/>
              <w:divBdr>
                <w:top w:val="none" w:sz="0" w:space="0" w:color="auto"/>
                <w:left w:val="none" w:sz="0" w:space="0" w:color="auto"/>
                <w:bottom w:val="none" w:sz="0" w:space="0" w:color="auto"/>
                <w:right w:val="none" w:sz="0" w:space="0" w:color="auto"/>
              </w:divBdr>
              <w:divsChild>
                <w:div w:id="1677229103">
                  <w:marLeft w:val="0"/>
                  <w:marRight w:val="0"/>
                  <w:marTop w:val="0"/>
                  <w:marBottom w:val="0"/>
                  <w:divBdr>
                    <w:top w:val="none" w:sz="0" w:space="0" w:color="auto"/>
                    <w:left w:val="none" w:sz="0" w:space="0" w:color="auto"/>
                    <w:bottom w:val="none" w:sz="0" w:space="0" w:color="auto"/>
                    <w:right w:val="none" w:sz="0" w:space="0" w:color="auto"/>
                  </w:divBdr>
                  <w:divsChild>
                    <w:div w:id="1322809251">
                      <w:marLeft w:val="0"/>
                      <w:marRight w:val="0"/>
                      <w:marTop w:val="0"/>
                      <w:marBottom w:val="0"/>
                      <w:divBdr>
                        <w:top w:val="none" w:sz="0" w:space="0" w:color="auto"/>
                        <w:left w:val="none" w:sz="0" w:space="0" w:color="auto"/>
                        <w:bottom w:val="none" w:sz="0" w:space="0" w:color="auto"/>
                        <w:right w:val="none" w:sz="0" w:space="0" w:color="auto"/>
                      </w:divBdr>
                      <w:divsChild>
                        <w:div w:id="71391720">
                          <w:marLeft w:val="0"/>
                          <w:marRight w:val="0"/>
                          <w:marTop w:val="0"/>
                          <w:marBottom w:val="0"/>
                          <w:divBdr>
                            <w:top w:val="none" w:sz="0" w:space="0" w:color="auto"/>
                            <w:left w:val="none" w:sz="0" w:space="0" w:color="auto"/>
                            <w:bottom w:val="none" w:sz="0" w:space="0" w:color="auto"/>
                            <w:right w:val="none" w:sz="0" w:space="0" w:color="auto"/>
                          </w:divBdr>
                          <w:divsChild>
                            <w:div w:id="554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7106">
      <w:bodyDiv w:val="1"/>
      <w:marLeft w:val="0"/>
      <w:marRight w:val="0"/>
      <w:marTop w:val="0"/>
      <w:marBottom w:val="0"/>
      <w:divBdr>
        <w:top w:val="none" w:sz="0" w:space="0" w:color="auto"/>
        <w:left w:val="none" w:sz="0" w:space="0" w:color="auto"/>
        <w:bottom w:val="none" w:sz="0" w:space="0" w:color="auto"/>
        <w:right w:val="none" w:sz="0" w:space="0" w:color="auto"/>
      </w:divBdr>
      <w:divsChild>
        <w:div w:id="309795223">
          <w:marLeft w:val="0"/>
          <w:marRight w:val="0"/>
          <w:marTop w:val="0"/>
          <w:marBottom w:val="0"/>
          <w:divBdr>
            <w:top w:val="none" w:sz="0" w:space="0" w:color="auto"/>
            <w:left w:val="none" w:sz="0" w:space="0" w:color="auto"/>
            <w:bottom w:val="none" w:sz="0" w:space="0" w:color="auto"/>
            <w:right w:val="none" w:sz="0" w:space="0" w:color="auto"/>
          </w:divBdr>
          <w:divsChild>
            <w:div w:id="1564213759">
              <w:marLeft w:val="0"/>
              <w:marRight w:val="0"/>
              <w:marTop w:val="0"/>
              <w:marBottom w:val="0"/>
              <w:divBdr>
                <w:top w:val="none" w:sz="0" w:space="0" w:color="auto"/>
                <w:left w:val="none" w:sz="0" w:space="0" w:color="auto"/>
                <w:bottom w:val="none" w:sz="0" w:space="0" w:color="auto"/>
                <w:right w:val="none" w:sz="0" w:space="0" w:color="auto"/>
              </w:divBdr>
              <w:divsChild>
                <w:div w:id="625501831">
                  <w:marLeft w:val="0"/>
                  <w:marRight w:val="0"/>
                  <w:marTop w:val="0"/>
                  <w:marBottom w:val="0"/>
                  <w:divBdr>
                    <w:top w:val="none" w:sz="0" w:space="0" w:color="auto"/>
                    <w:left w:val="none" w:sz="0" w:space="0" w:color="auto"/>
                    <w:bottom w:val="none" w:sz="0" w:space="0" w:color="auto"/>
                    <w:right w:val="none" w:sz="0" w:space="0" w:color="auto"/>
                  </w:divBdr>
                  <w:divsChild>
                    <w:div w:id="2036533907">
                      <w:marLeft w:val="0"/>
                      <w:marRight w:val="0"/>
                      <w:marTop w:val="0"/>
                      <w:marBottom w:val="0"/>
                      <w:divBdr>
                        <w:top w:val="none" w:sz="0" w:space="0" w:color="auto"/>
                        <w:left w:val="none" w:sz="0" w:space="0" w:color="auto"/>
                        <w:bottom w:val="none" w:sz="0" w:space="0" w:color="auto"/>
                        <w:right w:val="none" w:sz="0" w:space="0" w:color="auto"/>
                      </w:divBdr>
                      <w:divsChild>
                        <w:div w:id="706835237">
                          <w:marLeft w:val="0"/>
                          <w:marRight w:val="0"/>
                          <w:marTop w:val="0"/>
                          <w:marBottom w:val="0"/>
                          <w:divBdr>
                            <w:top w:val="none" w:sz="0" w:space="0" w:color="auto"/>
                            <w:left w:val="none" w:sz="0" w:space="0" w:color="auto"/>
                            <w:bottom w:val="none" w:sz="0" w:space="0" w:color="auto"/>
                            <w:right w:val="none" w:sz="0" w:space="0" w:color="auto"/>
                          </w:divBdr>
                          <w:divsChild>
                            <w:div w:id="897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815">
      <w:bodyDiv w:val="1"/>
      <w:marLeft w:val="75"/>
      <w:marRight w:val="0"/>
      <w:marTop w:val="0"/>
      <w:marBottom w:val="0"/>
      <w:divBdr>
        <w:top w:val="none" w:sz="0" w:space="0" w:color="auto"/>
        <w:left w:val="none" w:sz="0" w:space="0" w:color="auto"/>
        <w:bottom w:val="none" w:sz="0" w:space="0" w:color="auto"/>
        <w:right w:val="none" w:sz="0" w:space="0" w:color="auto"/>
      </w:divBdr>
      <w:divsChild>
        <w:div w:id="1886598920">
          <w:marLeft w:val="0"/>
          <w:marRight w:val="0"/>
          <w:marTop w:val="0"/>
          <w:marBottom w:val="0"/>
          <w:divBdr>
            <w:top w:val="none" w:sz="0" w:space="0" w:color="auto"/>
            <w:left w:val="none" w:sz="0" w:space="0" w:color="auto"/>
            <w:bottom w:val="none" w:sz="0" w:space="0" w:color="auto"/>
            <w:right w:val="none" w:sz="0" w:space="0" w:color="auto"/>
          </w:divBdr>
          <w:divsChild>
            <w:div w:id="6662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6842">
      <w:bodyDiv w:val="1"/>
      <w:marLeft w:val="0"/>
      <w:marRight w:val="0"/>
      <w:marTop w:val="0"/>
      <w:marBottom w:val="0"/>
      <w:divBdr>
        <w:top w:val="none" w:sz="0" w:space="0" w:color="auto"/>
        <w:left w:val="none" w:sz="0" w:space="0" w:color="auto"/>
        <w:bottom w:val="none" w:sz="0" w:space="0" w:color="auto"/>
        <w:right w:val="none" w:sz="0" w:space="0" w:color="auto"/>
      </w:divBdr>
      <w:divsChild>
        <w:div w:id="1008213890">
          <w:marLeft w:val="0"/>
          <w:marRight w:val="0"/>
          <w:marTop w:val="0"/>
          <w:marBottom w:val="0"/>
          <w:divBdr>
            <w:top w:val="none" w:sz="0" w:space="0" w:color="auto"/>
            <w:left w:val="none" w:sz="0" w:space="0" w:color="auto"/>
            <w:bottom w:val="none" w:sz="0" w:space="0" w:color="auto"/>
            <w:right w:val="none" w:sz="0" w:space="0" w:color="auto"/>
          </w:divBdr>
          <w:divsChild>
            <w:div w:id="222450358">
              <w:marLeft w:val="0"/>
              <w:marRight w:val="0"/>
              <w:marTop w:val="0"/>
              <w:marBottom w:val="0"/>
              <w:divBdr>
                <w:top w:val="none" w:sz="0" w:space="0" w:color="auto"/>
                <w:left w:val="none" w:sz="0" w:space="0" w:color="auto"/>
                <w:bottom w:val="none" w:sz="0" w:space="0" w:color="auto"/>
                <w:right w:val="none" w:sz="0" w:space="0" w:color="auto"/>
              </w:divBdr>
              <w:divsChild>
                <w:div w:id="651057415">
                  <w:marLeft w:val="0"/>
                  <w:marRight w:val="0"/>
                  <w:marTop w:val="0"/>
                  <w:marBottom w:val="0"/>
                  <w:divBdr>
                    <w:top w:val="none" w:sz="0" w:space="0" w:color="auto"/>
                    <w:left w:val="none" w:sz="0" w:space="0" w:color="auto"/>
                    <w:bottom w:val="none" w:sz="0" w:space="0" w:color="auto"/>
                    <w:right w:val="none" w:sz="0" w:space="0" w:color="auto"/>
                  </w:divBdr>
                  <w:divsChild>
                    <w:div w:id="697853860">
                      <w:marLeft w:val="0"/>
                      <w:marRight w:val="0"/>
                      <w:marTop w:val="0"/>
                      <w:marBottom w:val="0"/>
                      <w:divBdr>
                        <w:top w:val="none" w:sz="0" w:space="0" w:color="auto"/>
                        <w:left w:val="none" w:sz="0" w:space="0" w:color="auto"/>
                        <w:bottom w:val="none" w:sz="0" w:space="0" w:color="auto"/>
                        <w:right w:val="none" w:sz="0" w:space="0" w:color="auto"/>
                      </w:divBdr>
                      <w:divsChild>
                        <w:div w:id="1737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999201">
      <w:bodyDiv w:val="1"/>
      <w:marLeft w:val="0"/>
      <w:marRight w:val="0"/>
      <w:marTop w:val="0"/>
      <w:marBottom w:val="0"/>
      <w:divBdr>
        <w:top w:val="none" w:sz="0" w:space="0" w:color="auto"/>
        <w:left w:val="none" w:sz="0" w:space="0" w:color="auto"/>
        <w:bottom w:val="none" w:sz="0" w:space="0" w:color="auto"/>
        <w:right w:val="none" w:sz="0" w:space="0" w:color="auto"/>
      </w:divBdr>
      <w:divsChild>
        <w:div w:id="1313026206">
          <w:marLeft w:val="0"/>
          <w:marRight w:val="0"/>
          <w:marTop w:val="0"/>
          <w:marBottom w:val="0"/>
          <w:divBdr>
            <w:top w:val="none" w:sz="0" w:space="0" w:color="auto"/>
            <w:left w:val="none" w:sz="0" w:space="0" w:color="auto"/>
            <w:bottom w:val="none" w:sz="0" w:space="0" w:color="auto"/>
            <w:right w:val="none" w:sz="0" w:space="0" w:color="auto"/>
          </w:divBdr>
          <w:divsChild>
            <w:div w:id="215093521">
              <w:marLeft w:val="0"/>
              <w:marRight w:val="0"/>
              <w:marTop w:val="0"/>
              <w:marBottom w:val="0"/>
              <w:divBdr>
                <w:top w:val="none" w:sz="0" w:space="0" w:color="auto"/>
                <w:left w:val="none" w:sz="0" w:space="0" w:color="auto"/>
                <w:bottom w:val="none" w:sz="0" w:space="0" w:color="auto"/>
                <w:right w:val="none" w:sz="0" w:space="0" w:color="auto"/>
              </w:divBdr>
              <w:divsChild>
                <w:div w:id="1207525910">
                  <w:marLeft w:val="0"/>
                  <w:marRight w:val="0"/>
                  <w:marTop w:val="0"/>
                  <w:marBottom w:val="0"/>
                  <w:divBdr>
                    <w:top w:val="none" w:sz="0" w:space="0" w:color="auto"/>
                    <w:left w:val="none" w:sz="0" w:space="0" w:color="auto"/>
                    <w:bottom w:val="none" w:sz="0" w:space="0" w:color="auto"/>
                    <w:right w:val="none" w:sz="0" w:space="0" w:color="auto"/>
                  </w:divBdr>
                  <w:divsChild>
                    <w:div w:id="1367828759">
                      <w:marLeft w:val="0"/>
                      <w:marRight w:val="0"/>
                      <w:marTop w:val="0"/>
                      <w:marBottom w:val="0"/>
                      <w:divBdr>
                        <w:top w:val="none" w:sz="0" w:space="0" w:color="auto"/>
                        <w:left w:val="none" w:sz="0" w:space="0" w:color="auto"/>
                        <w:bottom w:val="none" w:sz="0" w:space="0" w:color="auto"/>
                        <w:right w:val="none" w:sz="0" w:space="0" w:color="auto"/>
                      </w:divBdr>
                      <w:divsChild>
                        <w:div w:id="547187028">
                          <w:marLeft w:val="0"/>
                          <w:marRight w:val="0"/>
                          <w:marTop w:val="0"/>
                          <w:marBottom w:val="0"/>
                          <w:divBdr>
                            <w:top w:val="none" w:sz="0" w:space="0" w:color="auto"/>
                            <w:left w:val="none" w:sz="0" w:space="0" w:color="auto"/>
                            <w:bottom w:val="none" w:sz="0" w:space="0" w:color="auto"/>
                            <w:right w:val="none" w:sz="0" w:space="0" w:color="auto"/>
                          </w:divBdr>
                          <w:divsChild>
                            <w:div w:id="1546405273">
                              <w:marLeft w:val="0"/>
                              <w:marRight w:val="0"/>
                              <w:marTop w:val="0"/>
                              <w:marBottom w:val="0"/>
                              <w:divBdr>
                                <w:top w:val="none" w:sz="0" w:space="0" w:color="auto"/>
                                <w:left w:val="none" w:sz="0" w:space="0" w:color="auto"/>
                                <w:bottom w:val="none" w:sz="0" w:space="0" w:color="auto"/>
                                <w:right w:val="none" w:sz="0" w:space="0" w:color="auto"/>
                              </w:divBdr>
                              <w:divsChild>
                                <w:div w:id="16037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31912">
      <w:bodyDiv w:val="1"/>
      <w:marLeft w:val="0"/>
      <w:marRight w:val="0"/>
      <w:marTop w:val="0"/>
      <w:marBottom w:val="0"/>
      <w:divBdr>
        <w:top w:val="none" w:sz="0" w:space="0" w:color="auto"/>
        <w:left w:val="none" w:sz="0" w:space="0" w:color="auto"/>
        <w:bottom w:val="none" w:sz="0" w:space="0" w:color="auto"/>
        <w:right w:val="none" w:sz="0" w:space="0" w:color="auto"/>
      </w:divBdr>
      <w:divsChild>
        <w:div w:id="671762265">
          <w:marLeft w:val="0"/>
          <w:marRight w:val="0"/>
          <w:marTop w:val="0"/>
          <w:marBottom w:val="0"/>
          <w:divBdr>
            <w:top w:val="none" w:sz="0" w:space="0" w:color="auto"/>
            <w:left w:val="none" w:sz="0" w:space="0" w:color="auto"/>
            <w:bottom w:val="none" w:sz="0" w:space="0" w:color="auto"/>
            <w:right w:val="none" w:sz="0" w:space="0" w:color="auto"/>
          </w:divBdr>
          <w:divsChild>
            <w:div w:id="925765984">
              <w:marLeft w:val="0"/>
              <w:marRight w:val="0"/>
              <w:marTop w:val="0"/>
              <w:marBottom w:val="0"/>
              <w:divBdr>
                <w:top w:val="none" w:sz="0" w:space="0" w:color="auto"/>
                <w:left w:val="none" w:sz="0" w:space="0" w:color="auto"/>
                <w:bottom w:val="none" w:sz="0" w:space="0" w:color="auto"/>
                <w:right w:val="none" w:sz="0" w:space="0" w:color="auto"/>
              </w:divBdr>
              <w:divsChild>
                <w:div w:id="1344169155">
                  <w:marLeft w:val="0"/>
                  <w:marRight w:val="0"/>
                  <w:marTop w:val="0"/>
                  <w:marBottom w:val="0"/>
                  <w:divBdr>
                    <w:top w:val="none" w:sz="0" w:space="0" w:color="auto"/>
                    <w:left w:val="none" w:sz="0" w:space="0" w:color="auto"/>
                    <w:bottom w:val="none" w:sz="0" w:space="0" w:color="auto"/>
                    <w:right w:val="none" w:sz="0" w:space="0" w:color="auto"/>
                  </w:divBdr>
                  <w:divsChild>
                    <w:div w:id="165479883">
                      <w:marLeft w:val="0"/>
                      <w:marRight w:val="0"/>
                      <w:marTop w:val="0"/>
                      <w:marBottom w:val="0"/>
                      <w:divBdr>
                        <w:top w:val="none" w:sz="0" w:space="0" w:color="auto"/>
                        <w:left w:val="none" w:sz="0" w:space="0" w:color="auto"/>
                        <w:bottom w:val="none" w:sz="0" w:space="0" w:color="auto"/>
                        <w:right w:val="none" w:sz="0" w:space="0" w:color="auto"/>
                      </w:divBdr>
                      <w:divsChild>
                        <w:div w:id="1846045727">
                          <w:marLeft w:val="0"/>
                          <w:marRight w:val="0"/>
                          <w:marTop w:val="0"/>
                          <w:marBottom w:val="0"/>
                          <w:divBdr>
                            <w:top w:val="none" w:sz="0" w:space="0" w:color="auto"/>
                            <w:left w:val="none" w:sz="0" w:space="0" w:color="auto"/>
                            <w:bottom w:val="none" w:sz="0" w:space="0" w:color="auto"/>
                            <w:right w:val="none" w:sz="0" w:space="0" w:color="auto"/>
                          </w:divBdr>
                          <w:divsChild>
                            <w:div w:id="1779982162">
                              <w:marLeft w:val="0"/>
                              <w:marRight w:val="0"/>
                              <w:marTop w:val="0"/>
                              <w:marBottom w:val="0"/>
                              <w:divBdr>
                                <w:top w:val="none" w:sz="0" w:space="0" w:color="auto"/>
                                <w:left w:val="none" w:sz="0" w:space="0" w:color="auto"/>
                                <w:bottom w:val="none" w:sz="0" w:space="0" w:color="auto"/>
                                <w:right w:val="none" w:sz="0" w:space="0" w:color="auto"/>
                              </w:divBdr>
                              <w:divsChild>
                                <w:div w:id="2932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042764">
      <w:bodyDiv w:val="1"/>
      <w:marLeft w:val="0"/>
      <w:marRight w:val="0"/>
      <w:marTop w:val="0"/>
      <w:marBottom w:val="0"/>
      <w:divBdr>
        <w:top w:val="none" w:sz="0" w:space="0" w:color="auto"/>
        <w:left w:val="none" w:sz="0" w:space="0" w:color="auto"/>
        <w:bottom w:val="none" w:sz="0" w:space="0" w:color="auto"/>
        <w:right w:val="none" w:sz="0" w:space="0" w:color="auto"/>
      </w:divBdr>
    </w:div>
    <w:div w:id="1094865143">
      <w:bodyDiv w:val="1"/>
      <w:marLeft w:val="0"/>
      <w:marRight w:val="0"/>
      <w:marTop w:val="0"/>
      <w:marBottom w:val="0"/>
      <w:divBdr>
        <w:top w:val="none" w:sz="0" w:space="0" w:color="auto"/>
        <w:left w:val="none" w:sz="0" w:space="0" w:color="auto"/>
        <w:bottom w:val="none" w:sz="0" w:space="0" w:color="auto"/>
        <w:right w:val="none" w:sz="0" w:space="0" w:color="auto"/>
      </w:divBdr>
      <w:divsChild>
        <w:div w:id="501626061">
          <w:marLeft w:val="30"/>
          <w:marRight w:val="75"/>
          <w:marTop w:val="0"/>
          <w:marBottom w:val="0"/>
          <w:divBdr>
            <w:top w:val="none" w:sz="0" w:space="0" w:color="auto"/>
            <w:left w:val="none" w:sz="0" w:space="0" w:color="auto"/>
            <w:bottom w:val="none" w:sz="0" w:space="0" w:color="auto"/>
            <w:right w:val="none" w:sz="0" w:space="0" w:color="auto"/>
          </w:divBdr>
        </w:div>
      </w:divsChild>
    </w:div>
    <w:div w:id="1122185519">
      <w:bodyDiv w:val="1"/>
      <w:marLeft w:val="0"/>
      <w:marRight w:val="0"/>
      <w:marTop w:val="0"/>
      <w:marBottom w:val="0"/>
      <w:divBdr>
        <w:top w:val="none" w:sz="0" w:space="0" w:color="auto"/>
        <w:left w:val="none" w:sz="0" w:space="0" w:color="auto"/>
        <w:bottom w:val="none" w:sz="0" w:space="0" w:color="auto"/>
        <w:right w:val="none" w:sz="0" w:space="0" w:color="auto"/>
      </w:divBdr>
    </w:div>
    <w:div w:id="1145512236">
      <w:bodyDiv w:val="1"/>
      <w:marLeft w:val="0"/>
      <w:marRight w:val="0"/>
      <w:marTop w:val="0"/>
      <w:marBottom w:val="0"/>
      <w:divBdr>
        <w:top w:val="none" w:sz="0" w:space="0" w:color="auto"/>
        <w:left w:val="none" w:sz="0" w:space="0" w:color="auto"/>
        <w:bottom w:val="none" w:sz="0" w:space="0" w:color="auto"/>
        <w:right w:val="none" w:sz="0" w:space="0" w:color="auto"/>
      </w:divBdr>
      <w:divsChild>
        <w:div w:id="27218678">
          <w:marLeft w:val="0"/>
          <w:marRight w:val="0"/>
          <w:marTop w:val="0"/>
          <w:marBottom w:val="0"/>
          <w:divBdr>
            <w:top w:val="none" w:sz="0" w:space="0" w:color="auto"/>
            <w:left w:val="none" w:sz="0" w:space="0" w:color="auto"/>
            <w:bottom w:val="none" w:sz="0" w:space="0" w:color="auto"/>
            <w:right w:val="none" w:sz="0" w:space="0" w:color="auto"/>
          </w:divBdr>
          <w:divsChild>
            <w:div w:id="4132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0912">
      <w:bodyDiv w:val="1"/>
      <w:marLeft w:val="0"/>
      <w:marRight w:val="0"/>
      <w:marTop w:val="0"/>
      <w:marBottom w:val="0"/>
      <w:divBdr>
        <w:top w:val="none" w:sz="0" w:space="0" w:color="auto"/>
        <w:left w:val="none" w:sz="0" w:space="0" w:color="auto"/>
        <w:bottom w:val="none" w:sz="0" w:space="0" w:color="auto"/>
        <w:right w:val="none" w:sz="0" w:space="0" w:color="auto"/>
      </w:divBdr>
    </w:div>
    <w:div w:id="1218325239">
      <w:bodyDiv w:val="1"/>
      <w:marLeft w:val="0"/>
      <w:marRight w:val="0"/>
      <w:marTop w:val="0"/>
      <w:marBottom w:val="0"/>
      <w:divBdr>
        <w:top w:val="none" w:sz="0" w:space="0" w:color="auto"/>
        <w:left w:val="none" w:sz="0" w:space="0" w:color="auto"/>
        <w:bottom w:val="none" w:sz="0" w:space="0" w:color="auto"/>
        <w:right w:val="none" w:sz="0" w:space="0" w:color="auto"/>
      </w:divBdr>
    </w:div>
    <w:div w:id="1221091540">
      <w:bodyDiv w:val="1"/>
      <w:marLeft w:val="0"/>
      <w:marRight w:val="0"/>
      <w:marTop w:val="0"/>
      <w:marBottom w:val="0"/>
      <w:divBdr>
        <w:top w:val="none" w:sz="0" w:space="0" w:color="auto"/>
        <w:left w:val="none" w:sz="0" w:space="0" w:color="auto"/>
        <w:bottom w:val="none" w:sz="0" w:space="0" w:color="auto"/>
        <w:right w:val="none" w:sz="0" w:space="0" w:color="auto"/>
      </w:divBdr>
    </w:div>
    <w:div w:id="1224635793">
      <w:bodyDiv w:val="1"/>
      <w:marLeft w:val="0"/>
      <w:marRight w:val="0"/>
      <w:marTop w:val="0"/>
      <w:marBottom w:val="0"/>
      <w:divBdr>
        <w:top w:val="none" w:sz="0" w:space="0" w:color="auto"/>
        <w:left w:val="none" w:sz="0" w:space="0" w:color="auto"/>
        <w:bottom w:val="none" w:sz="0" w:space="0" w:color="auto"/>
        <w:right w:val="none" w:sz="0" w:space="0" w:color="auto"/>
      </w:divBdr>
      <w:divsChild>
        <w:div w:id="1839809626">
          <w:marLeft w:val="0"/>
          <w:marRight w:val="0"/>
          <w:marTop w:val="0"/>
          <w:marBottom w:val="0"/>
          <w:divBdr>
            <w:top w:val="none" w:sz="0" w:space="0" w:color="auto"/>
            <w:left w:val="none" w:sz="0" w:space="0" w:color="auto"/>
            <w:bottom w:val="none" w:sz="0" w:space="0" w:color="auto"/>
            <w:right w:val="none" w:sz="0" w:space="0" w:color="auto"/>
          </w:divBdr>
          <w:divsChild>
            <w:div w:id="299192028">
              <w:marLeft w:val="0"/>
              <w:marRight w:val="0"/>
              <w:marTop w:val="0"/>
              <w:marBottom w:val="0"/>
              <w:divBdr>
                <w:top w:val="none" w:sz="0" w:space="0" w:color="auto"/>
                <w:left w:val="none" w:sz="0" w:space="0" w:color="auto"/>
                <w:bottom w:val="none" w:sz="0" w:space="0" w:color="auto"/>
                <w:right w:val="none" w:sz="0" w:space="0" w:color="auto"/>
              </w:divBdr>
              <w:divsChild>
                <w:div w:id="1316108683">
                  <w:marLeft w:val="0"/>
                  <w:marRight w:val="0"/>
                  <w:marTop w:val="0"/>
                  <w:marBottom w:val="0"/>
                  <w:divBdr>
                    <w:top w:val="none" w:sz="0" w:space="0" w:color="auto"/>
                    <w:left w:val="none" w:sz="0" w:space="0" w:color="auto"/>
                    <w:bottom w:val="none" w:sz="0" w:space="0" w:color="auto"/>
                    <w:right w:val="none" w:sz="0" w:space="0" w:color="auto"/>
                  </w:divBdr>
                  <w:divsChild>
                    <w:div w:id="237323007">
                      <w:marLeft w:val="0"/>
                      <w:marRight w:val="0"/>
                      <w:marTop w:val="0"/>
                      <w:marBottom w:val="0"/>
                      <w:divBdr>
                        <w:top w:val="none" w:sz="0" w:space="0" w:color="auto"/>
                        <w:left w:val="none" w:sz="0" w:space="0" w:color="auto"/>
                        <w:bottom w:val="none" w:sz="0" w:space="0" w:color="auto"/>
                        <w:right w:val="none" w:sz="0" w:space="0" w:color="auto"/>
                      </w:divBdr>
                      <w:divsChild>
                        <w:div w:id="1647006296">
                          <w:marLeft w:val="0"/>
                          <w:marRight w:val="0"/>
                          <w:marTop w:val="0"/>
                          <w:marBottom w:val="0"/>
                          <w:divBdr>
                            <w:top w:val="none" w:sz="0" w:space="0" w:color="auto"/>
                            <w:left w:val="none" w:sz="0" w:space="0" w:color="auto"/>
                            <w:bottom w:val="none" w:sz="0" w:space="0" w:color="auto"/>
                            <w:right w:val="none" w:sz="0" w:space="0" w:color="auto"/>
                          </w:divBdr>
                          <w:divsChild>
                            <w:div w:id="18185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4890">
      <w:bodyDiv w:val="1"/>
      <w:marLeft w:val="0"/>
      <w:marRight w:val="0"/>
      <w:marTop w:val="0"/>
      <w:marBottom w:val="0"/>
      <w:divBdr>
        <w:top w:val="none" w:sz="0" w:space="0" w:color="auto"/>
        <w:left w:val="none" w:sz="0" w:space="0" w:color="auto"/>
        <w:bottom w:val="none" w:sz="0" w:space="0" w:color="auto"/>
        <w:right w:val="none" w:sz="0" w:space="0" w:color="auto"/>
      </w:divBdr>
      <w:divsChild>
        <w:div w:id="1910144234">
          <w:marLeft w:val="0"/>
          <w:marRight w:val="0"/>
          <w:marTop w:val="0"/>
          <w:marBottom w:val="0"/>
          <w:divBdr>
            <w:top w:val="none" w:sz="0" w:space="0" w:color="auto"/>
            <w:left w:val="none" w:sz="0" w:space="0" w:color="auto"/>
            <w:bottom w:val="none" w:sz="0" w:space="0" w:color="auto"/>
            <w:right w:val="none" w:sz="0" w:space="0" w:color="auto"/>
          </w:divBdr>
          <w:divsChild>
            <w:div w:id="233512968">
              <w:marLeft w:val="0"/>
              <w:marRight w:val="0"/>
              <w:marTop w:val="0"/>
              <w:marBottom w:val="0"/>
              <w:divBdr>
                <w:top w:val="none" w:sz="0" w:space="0" w:color="auto"/>
                <w:left w:val="none" w:sz="0" w:space="0" w:color="auto"/>
                <w:bottom w:val="none" w:sz="0" w:space="0" w:color="auto"/>
                <w:right w:val="none" w:sz="0" w:space="0" w:color="auto"/>
              </w:divBdr>
              <w:divsChild>
                <w:div w:id="1310551358">
                  <w:marLeft w:val="0"/>
                  <w:marRight w:val="0"/>
                  <w:marTop w:val="0"/>
                  <w:marBottom w:val="0"/>
                  <w:divBdr>
                    <w:top w:val="none" w:sz="0" w:space="0" w:color="auto"/>
                    <w:left w:val="none" w:sz="0" w:space="0" w:color="auto"/>
                    <w:bottom w:val="none" w:sz="0" w:space="0" w:color="auto"/>
                    <w:right w:val="none" w:sz="0" w:space="0" w:color="auto"/>
                  </w:divBdr>
                  <w:divsChild>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0865">
      <w:bodyDiv w:val="1"/>
      <w:marLeft w:val="75"/>
      <w:marRight w:val="0"/>
      <w:marTop w:val="0"/>
      <w:marBottom w:val="0"/>
      <w:divBdr>
        <w:top w:val="none" w:sz="0" w:space="0" w:color="auto"/>
        <w:left w:val="none" w:sz="0" w:space="0" w:color="auto"/>
        <w:bottom w:val="none" w:sz="0" w:space="0" w:color="auto"/>
        <w:right w:val="none" w:sz="0" w:space="0" w:color="auto"/>
      </w:divBdr>
      <w:divsChild>
        <w:div w:id="765080098">
          <w:marLeft w:val="0"/>
          <w:marRight w:val="0"/>
          <w:marTop w:val="0"/>
          <w:marBottom w:val="0"/>
          <w:divBdr>
            <w:top w:val="none" w:sz="0" w:space="0" w:color="auto"/>
            <w:left w:val="none" w:sz="0" w:space="0" w:color="auto"/>
            <w:bottom w:val="none" w:sz="0" w:space="0" w:color="auto"/>
            <w:right w:val="none" w:sz="0" w:space="0" w:color="auto"/>
          </w:divBdr>
          <w:divsChild>
            <w:div w:id="731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2572">
      <w:bodyDiv w:val="1"/>
      <w:marLeft w:val="0"/>
      <w:marRight w:val="0"/>
      <w:marTop w:val="0"/>
      <w:marBottom w:val="0"/>
      <w:divBdr>
        <w:top w:val="none" w:sz="0" w:space="0" w:color="auto"/>
        <w:left w:val="none" w:sz="0" w:space="0" w:color="auto"/>
        <w:bottom w:val="none" w:sz="0" w:space="0" w:color="auto"/>
        <w:right w:val="none" w:sz="0" w:space="0" w:color="auto"/>
      </w:divBdr>
      <w:divsChild>
        <w:div w:id="1840273923">
          <w:marLeft w:val="0"/>
          <w:marRight w:val="0"/>
          <w:marTop w:val="0"/>
          <w:marBottom w:val="0"/>
          <w:divBdr>
            <w:top w:val="none" w:sz="0" w:space="0" w:color="auto"/>
            <w:left w:val="none" w:sz="0" w:space="0" w:color="auto"/>
            <w:bottom w:val="none" w:sz="0" w:space="0" w:color="auto"/>
            <w:right w:val="none" w:sz="0" w:space="0" w:color="auto"/>
          </w:divBdr>
          <w:divsChild>
            <w:div w:id="1233732372">
              <w:marLeft w:val="0"/>
              <w:marRight w:val="0"/>
              <w:marTop w:val="0"/>
              <w:marBottom w:val="0"/>
              <w:divBdr>
                <w:top w:val="none" w:sz="0" w:space="0" w:color="auto"/>
                <w:left w:val="none" w:sz="0" w:space="0" w:color="auto"/>
                <w:bottom w:val="none" w:sz="0" w:space="0" w:color="auto"/>
                <w:right w:val="none" w:sz="0" w:space="0" w:color="auto"/>
              </w:divBdr>
              <w:divsChild>
                <w:div w:id="7792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56673">
      <w:bodyDiv w:val="1"/>
      <w:marLeft w:val="0"/>
      <w:marRight w:val="0"/>
      <w:marTop w:val="0"/>
      <w:marBottom w:val="0"/>
      <w:divBdr>
        <w:top w:val="none" w:sz="0" w:space="0" w:color="auto"/>
        <w:left w:val="none" w:sz="0" w:space="0" w:color="auto"/>
        <w:bottom w:val="none" w:sz="0" w:space="0" w:color="auto"/>
        <w:right w:val="none" w:sz="0" w:space="0" w:color="auto"/>
      </w:divBdr>
    </w:div>
    <w:div w:id="1408571997">
      <w:bodyDiv w:val="1"/>
      <w:marLeft w:val="0"/>
      <w:marRight w:val="0"/>
      <w:marTop w:val="0"/>
      <w:marBottom w:val="0"/>
      <w:divBdr>
        <w:top w:val="none" w:sz="0" w:space="0" w:color="auto"/>
        <w:left w:val="none" w:sz="0" w:space="0" w:color="auto"/>
        <w:bottom w:val="none" w:sz="0" w:space="0" w:color="auto"/>
        <w:right w:val="none" w:sz="0" w:space="0" w:color="auto"/>
      </w:divBdr>
      <w:divsChild>
        <w:div w:id="535702893">
          <w:marLeft w:val="0"/>
          <w:marRight w:val="0"/>
          <w:marTop w:val="0"/>
          <w:marBottom w:val="0"/>
          <w:divBdr>
            <w:top w:val="none" w:sz="0" w:space="0" w:color="auto"/>
            <w:left w:val="none" w:sz="0" w:space="0" w:color="auto"/>
            <w:bottom w:val="none" w:sz="0" w:space="0" w:color="auto"/>
            <w:right w:val="none" w:sz="0" w:space="0" w:color="auto"/>
          </w:divBdr>
          <w:divsChild>
            <w:div w:id="616567483">
              <w:marLeft w:val="0"/>
              <w:marRight w:val="0"/>
              <w:marTop w:val="0"/>
              <w:marBottom w:val="0"/>
              <w:divBdr>
                <w:top w:val="none" w:sz="0" w:space="0" w:color="auto"/>
                <w:left w:val="none" w:sz="0" w:space="0" w:color="auto"/>
                <w:bottom w:val="none" w:sz="0" w:space="0" w:color="auto"/>
                <w:right w:val="none" w:sz="0" w:space="0" w:color="auto"/>
              </w:divBdr>
              <w:divsChild>
                <w:div w:id="1790509070">
                  <w:marLeft w:val="0"/>
                  <w:marRight w:val="0"/>
                  <w:marTop w:val="0"/>
                  <w:marBottom w:val="0"/>
                  <w:divBdr>
                    <w:top w:val="none" w:sz="0" w:space="0" w:color="auto"/>
                    <w:left w:val="none" w:sz="0" w:space="0" w:color="auto"/>
                    <w:bottom w:val="none" w:sz="0" w:space="0" w:color="auto"/>
                    <w:right w:val="none" w:sz="0" w:space="0" w:color="auto"/>
                  </w:divBdr>
                  <w:divsChild>
                    <w:div w:id="198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89646">
      <w:bodyDiv w:val="1"/>
      <w:marLeft w:val="0"/>
      <w:marRight w:val="0"/>
      <w:marTop w:val="0"/>
      <w:marBottom w:val="0"/>
      <w:divBdr>
        <w:top w:val="none" w:sz="0" w:space="0" w:color="auto"/>
        <w:left w:val="none" w:sz="0" w:space="0" w:color="auto"/>
        <w:bottom w:val="none" w:sz="0" w:space="0" w:color="auto"/>
        <w:right w:val="none" w:sz="0" w:space="0" w:color="auto"/>
      </w:divBdr>
      <w:divsChild>
        <w:div w:id="328291209">
          <w:marLeft w:val="0"/>
          <w:marRight w:val="0"/>
          <w:marTop w:val="0"/>
          <w:marBottom w:val="0"/>
          <w:divBdr>
            <w:top w:val="none" w:sz="0" w:space="0" w:color="auto"/>
            <w:left w:val="none" w:sz="0" w:space="0" w:color="auto"/>
            <w:bottom w:val="none" w:sz="0" w:space="0" w:color="auto"/>
            <w:right w:val="none" w:sz="0" w:space="0" w:color="auto"/>
          </w:divBdr>
          <w:divsChild>
            <w:div w:id="629284366">
              <w:marLeft w:val="0"/>
              <w:marRight w:val="0"/>
              <w:marTop w:val="0"/>
              <w:marBottom w:val="0"/>
              <w:divBdr>
                <w:top w:val="none" w:sz="0" w:space="0" w:color="auto"/>
                <w:left w:val="none" w:sz="0" w:space="0" w:color="auto"/>
                <w:bottom w:val="none" w:sz="0" w:space="0" w:color="auto"/>
                <w:right w:val="none" w:sz="0" w:space="0" w:color="auto"/>
              </w:divBdr>
              <w:divsChild>
                <w:div w:id="2029912552">
                  <w:marLeft w:val="0"/>
                  <w:marRight w:val="0"/>
                  <w:marTop w:val="0"/>
                  <w:marBottom w:val="0"/>
                  <w:divBdr>
                    <w:top w:val="none" w:sz="0" w:space="0" w:color="auto"/>
                    <w:left w:val="none" w:sz="0" w:space="0" w:color="auto"/>
                    <w:bottom w:val="none" w:sz="0" w:space="0" w:color="auto"/>
                    <w:right w:val="none" w:sz="0" w:space="0" w:color="auto"/>
                  </w:divBdr>
                  <w:divsChild>
                    <w:div w:id="1672487508">
                      <w:marLeft w:val="0"/>
                      <w:marRight w:val="0"/>
                      <w:marTop w:val="0"/>
                      <w:marBottom w:val="0"/>
                      <w:divBdr>
                        <w:top w:val="none" w:sz="0" w:space="0" w:color="auto"/>
                        <w:left w:val="none" w:sz="0" w:space="0" w:color="auto"/>
                        <w:bottom w:val="none" w:sz="0" w:space="0" w:color="auto"/>
                        <w:right w:val="none" w:sz="0" w:space="0" w:color="auto"/>
                      </w:divBdr>
                      <w:divsChild>
                        <w:div w:id="369307217">
                          <w:marLeft w:val="0"/>
                          <w:marRight w:val="0"/>
                          <w:marTop w:val="0"/>
                          <w:marBottom w:val="0"/>
                          <w:divBdr>
                            <w:top w:val="none" w:sz="0" w:space="0" w:color="auto"/>
                            <w:left w:val="none" w:sz="0" w:space="0" w:color="auto"/>
                            <w:bottom w:val="none" w:sz="0" w:space="0" w:color="auto"/>
                            <w:right w:val="none" w:sz="0" w:space="0" w:color="auto"/>
                          </w:divBdr>
                          <w:divsChild>
                            <w:div w:id="1114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276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516">
          <w:marLeft w:val="0"/>
          <w:marRight w:val="0"/>
          <w:marTop w:val="0"/>
          <w:marBottom w:val="0"/>
          <w:divBdr>
            <w:top w:val="none" w:sz="0" w:space="0" w:color="auto"/>
            <w:left w:val="none" w:sz="0" w:space="0" w:color="auto"/>
            <w:bottom w:val="none" w:sz="0" w:space="0" w:color="auto"/>
            <w:right w:val="none" w:sz="0" w:space="0" w:color="auto"/>
          </w:divBdr>
        </w:div>
      </w:divsChild>
    </w:div>
    <w:div w:id="1493913100">
      <w:bodyDiv w:val="1"/>
      <w:marLeft w:val="0"/>
      <w:marRight w:val="0"/>
      <w:marTop w:val="0"/>
      <w:marBottom w:val="0"/>
      <w:divBdr>
        <w:top w:val="none" w:sz="0" w:space="0" w:color="auto"/>
        <w:left w:val="none" w:sz="0" w:space="0" w:color="auto"/>
        <w:bottom w:val="none" w:sz="0" w:space="0" w:color="auto"/>
        <w:right w:val="none" w:sz="0" w:space="0" w:color="auto"/>
      </w:divBdr>
    </w:div>
    <w:div w:id="1518882042">
      <w:bodyDiv w:val="1"/>
      <w:marLeft w:val="0"/>
      <w:marRight w:val="0"/>
      <w:marTop w:val="0"/>
      <w:marBottom w:val="0"/>
      <w:divBdr>
        <w:top w:val="none" w:sz="0" w:space="0" w:color="auto"/>
        <w:left w:val="none" w:sz="0" w:space="0" w:color="auto"/>
        <w:bottom w:val="none" w:sz="0" w:space="0" w:color="auto"/>
        <w:right w:val="none" w:sz="0" w:space="0" w:color="auto"/>
      </w:divBdr>
    </w:div>
    <w:div w:id="1565339487">
      <w:bodyDiv w:val="1"/>
      <w:marLeft w:val="0"/>
      <w:marRight w:val="0"/>
      <w:marTop w:val="0"/>
      <w:marBottom w:val="0"/>
      <w:divBdr>
        <w:top w:val="none" w:sz="0" w:space="0" w:color="auto"/>
        <w:left w:val="none" w:sz="0" w:space="0" w:color="auto"/>
        <w:bottom w:val="none" w:sz="0" w:space="0" w:color="auto"/>
        <w:right w:val="none" w:sz="0" w:space="0" w:color="auto"/>
      </w:divBdr>
      <w:divsChild>
        <w:div w:id="431631369">
          <w:marLeft w:val="0"/>
          <w:marRight w:val="0"/>
          <w:marTop w:val="0"/>
          <w:marBottom w:val="0"/>
          <w:divBdr>
            <w:top w:val="none" w:sz="0" w:space="0" w:color="auto"/>
            <w:left w:val="none" w:sz="0" w:space="0" w:color="auto"/>
            <w:bottom w:val="none" w:sz="0" w:space="0" w:color="auto"/>
            <w:right w:val="none" w:sz="0" w:space="0" w:color="auto"/>
          </w:divBdr>
          <w:divsChild>
            <w:div w:id="1851066352">
              <w:marLeft w:val="0"/>
              <w:marRight w:val="0"/>
              <w:marTop w:val="0"/>
              <w:marBottom w:val="0"/>
              <w:divBdr>
                <w:top w:val="none" w:sz="0" w:space="0" w:color="auto"/>
                <w:left w:val="none" w:sz="0" w:space="0" w:color="auto"/>
                <w:bottom w:val="none" w:sz="0" w:space="0" w:color="auto"/>
                <w:right w:val="none" w:sz="0" w:space="0" w:color="auto"/>
              </w:divBdr>
              <w:divsChild>
                <w:div w:id="1195584131">
                  <w:marLeft w:val="0"/>
                  <w:marRight w:val="0"/>
                  <w:marTop w:val="0"/>
                  <w:marBottom w:val="0"/>
                  <w:divBdr>
                    <w:top w:val="none" w:sz="0" w:space="0" w:color="auto"/>
                    <w:left w:val="none" w:sz="0" w:space="0" w:color="auto"/>
                    <w:bottom w:val="none" w:sz="0" w:space="0" w:color="auto"/>
                    <w:right w:val="none" w:sz="0" w:space="0" w:color="auto"/>
                  </w:divBdr>
                  <w:divsChild>
                    <w:div w:id="254635104">
                      <w:marLeft w:val="0"/>
                      <w:marRight w:val="0"/>
                      <w:marTop w:val="0"/>
                      <w:marBottom w:val="0"/>
                      <w:divBdr>
                        <w:top w:val="none" w:sz="0" w:space="0" w:color="auto"/>
                        <w:left w:val="none" w:sz="0" w:space="0" w:color="auto"/>
                        <w:bottom w:val="none" w:sz="0" w:space="0" w:color="auto"/>
                        <w:right w:val="none" w:sz="0" w:space="0" w:color="auto"/>
                      </w:divBdr>
                      <w:divsChild>
                        <w:div w:id="931166607">
                          <w:marLeft w:val="0"/>
                          <w:marRight w:val="0"/>
                          <w:marTop w:val="0"/>
                          <w:marBottom w:val="0"/>
                          <w:divBdr>
                            <w:top w:val="none" w:sz="0" w:space="0" w:color="auto"/>
                            <w:left w:val="none" w:sz="0" w:space="0" w:color="auto"/>
                            <w:bottom w:val="none" w:sz="0" w:space="0" w:color="auto"/>
                            <w:right w:val="none" w:sz="0" w:space="0" w:color="auto"/>
                          </w:divBdr>
                          <w:divsChild>
                            <w:div w:id="1276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881730">
      <w:bodyDiv w:val="1"/>
      <w:marLeft w:val="0"/>
      <w:marRight w:val="0"/>
      <w:marTop w:val="0"/>
      <w:marBottom w:val="0"/>
      <w:divBdr>
        <w:top w:val="none" w:sz="0" w:space="0" w:color="auto"/>
        <w:left w:val="none" w:sz="0" w:space="0" w:color="auto"/>
        <w:bottom w:val="none" w:sz="0" w:space="0" w:color="auto"/>
        <w:right w:val="none" w:sz="0" w:space="0" w:color="auto"/>
      </w:divBdr>
    </w:div>
    <w:div w:id="1589727600">
      <w:bodyDiv w:val="1"/>
      <w:marLeft w:val="0"/>
      <w:marRight w:val="0"/>
      <w:marTop w:val="0"/>
      <w:marBottom w:val="0"/>
      <w:divBdr>
        <w:top w:val="none" w:sz="0" w:space="0" w:color="auto"/>
        <w:left w:val="none" w:sz="0" w:space="0" w:color="auto"/>
        <w:bottom w:val="none" w:sz="0" w:space="0" w:color="auto"/>
        <w:right w:val="none" w:sz="0" w:space="0" w:color="auto"/>
      </w:divBdr>
      <w:divsChild>
        <w:div w:id="900947854">
          <w:marLeft w:val="0"/>
          <w:marRight w:val="0"/>
          <w:marTop w:val="0"/>
          <w:marBottom w:val="0"/>
          <w:divBdr>
            <w:top w:val="none" w:sz="0" w:space="0" w:color="auto"/>
            <w:left w:val="none" w:sz="0" w:space="0" w:color="auto"/>
            <w:bottom w:val="none" w:sz="0" w:space="0" w:color="auto"/>
            <w:right w:val="none" w:sz="0" w:space="0" w:color="auto"/>
          </w:divBdr>
          <w:divsChild>
            <w:div w:id="680934913">
              <w:marLeft w:val="0"/>
              <w:marRight w:val="0"/>
              <w:marTop w:val="0"/>
              <w:marBottom w:val="0"/>
              <w:divBdr>
                <w:top w:val="none" w:sz="0" w:space="0" w:color="auto"/>
                <w:left w:val="none" w:sz="0" w:space="0" w:color="auto"/>
                <w:bottom w:val="none" w:sz="0" w:space="0" w:color="auto"/>
                <w:right w:val="none" w:sz="0" w:space="0" w:color="auto"/>
              </w:divBdr>
              <w:divsChild>
                <w:div w:id="433865483">
                  <w:marLeft w:val="0"/>
                  <w:marRight w:val="0"/>
                  <w:marTop w:val="0"/>
                  <w:marBottom w:val="0"/>
                  <w:divBdr>
                    <w:top w:val="none" w:sz="0" w:space="0" w:color="auto"/>
                    <w:left w:val="none" w:sz="0" w:space="0" w:color="auto"/>
                    <w:bottom w:val="none" w:sz="0" w:space="0" w:color="auto"/>
                    <w:right w:val="none" w:sz="0" w:space="0" w:color="auto"/>
                  </w:divBdr>
                  <w:divsChild>
                    <w:div w:id="18352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352">
      <w:bodyDiv w:val="1"/>
      <w:marLeft w:val="0"/>
      <w:marRight w:val="0"/>
      <w:marTop w:val="0"/>
      <w:marBottom w:val="0"/>
      <w:divBdr>
        <w:top w:val="none" w:sz="0" w:space="0" w:color="auto"/>
        <w:left w:val="none" w:sz="0" w:space="0" w:color="auto"/>
        <w:bottom w:val="none" w:sz="0" w:space="0" w:color="auto"/>
        <w:right w:val="none" w:sz="0" w:space="0" w:color="auto"/>
      </w:divBdr>
      <w:divsChild>
        <w:div w:id="996155840">
          <w:marLeft w:val="0"/>
          <w:marRight w:val="0"/>
          <w:marTop w:val="0"/>
          <w:marBottom w:val="0"/>
          <w:divBdr>
            <w:top w:val="none" w:sz="0" w:space="0" w:color="auto"/>
            <w:left w:val="none" w:sz="0" w:space="0" w:color="auto"/>
            <w:bottom w:val="none" w:sz="0" w:space="0" w:color="auto"/>
            <w:right w:val="none" w:sz="0" w:space="0" w:color="auto"/>
          </w:divBdr>
          <w:divsChild>
            <w:div w:id="16181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6727">
      <w:bodyDiv w:val="1"/>
      <w:marLeft w:val="0"/>
      <w:marRight w:val="0"/>
      <w:marTop w:val="0"/>
      <w:marBottom w:val="0"/>
      <w:divBdr>
        <w:top w:val="none" w:sz="0" w:space="0" w:color="auto"/>
        <w:left w:val="none" w:sz="0" w:space="0" w:color="auto"/>
        <w:bottom w:val="none" w:sz="0" w:space="0" w:color="auto"/>
        <w:right w:val="none" w:sz="0" w:space="0" w:color="auto"/>
      </w:divBdr>
    </w:div>
    <w:div w:id="1661957187">
      <w:bodyDiv w:val="1"/>
      <w:marLeft w:val="0"/>
      <w:marRight w:val="0"/>
      <w:marTop w:val="0"/>
      <w:marBottom w:val="0"/>
      <w:divBdr>
        <w:top w:val="none" w:sz="0" w:space="0" w:color="auto"/>
        <w:left w:val="none" w:sz="0" w:space="0" w:color="auto"/>
        <w:bottom w:val="none" w:sz="0" w:space="0" w:color="auto"/>
        <w:right w:val="none" w:sz="0" w:space="0" w:color="auto"/>
      </w:divBdr>
    </w:div>
    <w:div w:id="1679576739">
      <w:bodyDiv w:val="1"/>
      <w:marLeft w:val="75"/>
      <w:marRight w:val="0"/>
      <w:marTop w:val="0"/>
      <w:marBottom w:val="0"/>
      <w:divBdr>
        <w:top w:val="none" w:sz="0" w:space="0" w:color="auto"/>
        <w:left w:val="none" w:sz="0" w:space="0" w:color="auto"/>
        <w:bottom w:val="none" w:sz="0" w:space="0" w:color="auto"/>
        <w:right w:val="none" w:sz="0" w:space="0" w:color="auto"/>
      </w:divBdr>
      <w:divsChild>
        <w:div w:id="1331059784">
          <w:marLeft w:val="0"/>
          <w:marRight w:val="0"/>
          <w:marTop w:val="0"/>
          <w:marBottom w:val="0"/>
          <w:divBdr>
            <w:top w:val="none" w:sz="0" w:space="0" w:color="auto"/>
            <w:left w:val="none" w:sz="0" w:space="0" w:color="auto"/>
            <w:bottom w:val="none" w:sz="0" w:space="0" w:color="auto"/>
            <w:right w:val="none" w:sz="0" w:space="0" w:color="auto"/>
          </w:divBdr>
          <w:divsChild>
            <w:div w:id="250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500">
      <w:bodyDiv w:val="1"/>
      <w:marLeft w:val="0"/>
      <w:marRight w:val="0"/>
      <w:marTop w:val="0"/>
      <w:marBottom w:val="0"/>
      <w:divBdr>
        <w:top w:val="none" w:sz="0" w:space="0" w:color="auto"/>
        <w:left w:val="none" w:sz="0" w:space="0" w:color="auto"/>
        <w:bottom w:val="none" w:sz="0" w:space="0" w:color="auto"/>
        <w:right w:val="none" w:sz="0" w:space="0" w:color="auto"/>
      </w:divBdr>
      <w:divsChild>
        <w:div w:id="305938262">
          <w:marLeft w:val="0"/>
          <w:marRight w:val="0"/>
          <w:marTop w:val="0"/>
          <w:marBottom w:val="0"/>
          <w:divBdr>
            <w:top w:val="none" w:sz="0" w:space="0" w:color="auto"/>
            <w:left w:val="none" w:sz="0" w:space="0" w:color="auto"/>
            <w:bottom w:val="none" w:sz="0" w:space="0" w:color="auto"/>
            <w:right w:val="none" w:sz="0" w:space="0" w:color="auto"/>
          </w:divBdr>
          <w:divsChild>
            <w:div w:id="891042624">
              <w:marLeft w:val="0"/>
              <w:marRight w:val="0"/>
              <w:marTop w:val="0"/>
              <w:marBottom w:val="0"/>
              <w:divBdr>
                <w:top w:val="none" w:sz="0" w:space="0" w:color="auto"/>
                <w:left w:val="none" w:sz="0" w:space="0" w:color="auto"/>
                <w:bottom w:val="none" w:sz="0" w:space="0" w:color="auto"/>
                <w:right w:val="none" w:sz="0" w:space="0" w:color="auto"/>
              </w:divBdr>
              <w:divsChild>
                <w:div w:id="103575131">
                  <w:marLeft w:val="0"/>
                  <w:marRight w:val="0"/>
                  <w:marTop w:val="0"/>
                  <w:marBottom w:val="0"/>
                  <w:divBdr>
                    <w:top w:val="none" w:sz="0" w:space="0" w:color="auto"/>
                    <w:left w:val="none" w:sz="0" w:space="0" w:color="auto"/>
                    <w:bottom w:val="none" w:sz="0" w:space="0" w:color="auto"/>
                    <w:right w:val="none" w:sz="0" w:space="0" w:color="auto"/>
                  </w:divBdr>
                  <w:divsChild>
                    <w:div w:id="643659791">
                      <w:marLeft w:val="0"/>
                      <w:marRight w:val="0"/>
                      <w:marTop w:val="0"/>
                      <w:marBottom w:val="0"/>
                      <w:divBdr>
                        <w:top w:val="none" w:sz="0" w:space="0" w:color="auto"/>
                        <w:left w:val="none" w:sz="0" w:space="0" w:color="auto"/>
                        <w:bottom w:val="none" w:sz="0" w:space="0" w:color="auto"/>
                        <w:right w:val="none" w:sz="0" w:space="0" w:color="auto"/>
                      </w:divBdr>
                      <w:divsChild>
                        <w:div w:id="1564946183">
                          <w:marLeft w:val="0"/>
                          <w:marRight w:val="0"/>
                          <w:marTop w:val="0"/>
                          <w:marBottom w:val="0"/>
                          <w:divBdr>
                            <w:top w:val="none" w:sz="0" w:space="0" w:color="auto"/>
                            <w:left w:val="none" w:sz="0" w:space="0" w:color="auto"/>
                            <w:bottom w:val="none" w:sz="0" w:space="0" w:color="auto"/>
                            <w:right w:val="none" w:sz="0" w:space="0" w:color="auto"/>
                          </w:divBdr>
                          <w:divsChild>
                            <w:div w:id="1758281311">
                              <w:marLeft w:val="0"/>
                              <w:marRight w:val="0"/>
                              <w:marTop w:val="0"/>
                              <w:marBottom w:val="0"/>
                              <w:divBdr>
                                <w:top w:val="none" w:sz="0" w:space="0" w:color="auto"/>
                                <w:left w:val="none" w:sz="0" w:space="0" w:color="auto"/>
                                <w:bottom w:val="none" w:sz="0" w:space="0" w:color="auto"/>
                                <w:right w:val="none" w:sz="0" w:space="0" w:color="auto"/>
                              </w:divBdr>
                              <w:divsChild>
                                <w:div w:id="1098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83122">
      <w:bodyDiv w:val="1"/>
      <w:marLeft w:val="0"/>
      <w:marRight w:val="0"/>
      <w:marTop w:val="0"/>
      <w:marBottom w:val="0"/>
      <w:divBdr>
        <w:top w:val="none" w:sz="0" w:space="0" w:color="auto"/>
        <w:left w:val="none" w:sz="0" w:space="0" w:color="auto"/>
        <w:bottom w:val="none" w:sz="0" w:space="0" w:color="auto"/>
        <w:right w:val="none" w:sz="0" w:space="0" w:color="auto"/>
      </w:divBdr>
      <w:divsChild>
        <w:div w:id="1582986568">
          <w:marLeft w:val="0"/>
          <w:marRight w:val="0"/>
          <w:marTop w:val="0"/>
          <w:marBottom w:val="0"/>
          <w:divBdr>
            <w:top w:val="none" w:sz="0" w:space="0" w:color="auto"/>
            <w:left w:val="none" w:sz="0" w:space="0" w:color="auto"/>
            <w:bottom w:val="none" w:sz="0" w:space="0" w:color="auto"/>
            <w:right w:val="none" w:sz="0" w:space="0" w:color="auto"/>
          </w:divBdr>
          <w:divsChild>
            <w:div w:id="1288900318">
              <w:marLeft w:val="0"/>
              <w:marRight w:val="0"/>
              <w:marTop w:val="0"/>
              <w:marBottom w:val="0"/>
              <w:divBdr>
                <w:top w:val="none" w:sz="0" w:space="0" w:color="auto"/>
                <w:left w:val="none" w:sz="0" w:space="0" w:color="auto"/>
                <w:bottom w:val="none" w:sz="0" w:space="0" w:color="auto"/>
                <w:right w:val="none" w:sz="0" w:space="0" w:color="auto"/>
              </w:divBdr>
              <w:divsChild>
                <w:div w:id="538082201">
                  <w:marLeft w:val="0"/>
                  <w:marRight w:val="0"/>
                  <w:marTop w:val="0"/>
                  <w:marBottom w:val="0"/>
                  <w:divBdr>
                    <w:top w:val="none" w:sz="0" w:space="0" w:color="auto"/>
                    <w:left w:val="none" w:sz="0" w:space="0" w:color="auto"/>
                    <w:bottom w:val="none" w:sz="0" w:space="0" w:color="auto"/>
                    <w:right w:val="none" w:sz="0" w:space="0" w:color="auto"/>
                  </w:divBdr>
                  <w:divsChild>
                    <w:div w:id="2136635067">
                      <w:marLeft w:val="0"/>
                      <w:marRight w:val="0"/>
                      <w:marTop w:val="0"/>
                      <w:marBottom w:val="0"/>
                      <w:divBdr>
                        <w:top w:val="none" w:sz="0" w:space="0" w:color="auto"/>
                        <w:left w:val="none" w:sz="0" w:space="0" w:color="auto"/>
                        <w:bottom w:val="none" w:sz="0" w:space="0" w:color="auto"/>
                        <w:right w:val="none" w:sz="0" w:space="0" w:color="auto"/>
                      </w:divBdr>
                      <w:divsChild>
                        <w:div w:id="2071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0486">
      <w:bodyDiv w:val="1"/>
      <w:marLeft w:val="0"/>
      <w:marRight w:val="0"/>
      <w:marTop w:val="0"/>
      <w:marBottom w:val="0"/>
      <w:divBdr>
        <w:top w:val="none" w:sz="0" w:space="0" w:color="auto"/>
        <w:left w:val="none" w:sz="0" w:space="0" w:color="auto"/>
        <w:bottom w:val="none" w:sz="0" w:space="0" w:color="auto"/>
        <w:right w:val="none" w:sz="0" w:space="0" w:color="auto"/>
      </w:divBdr>
      <w:divsChild>
        <w:div w:id="1282759165">
          <w:marLeft w:val="0"/>
          <w:marRight w:val="0"/>
          <w:marTop w:val="0"/>
          <w:marBottom w:val="0"/>
          <w:divBdr>
            <w:top w:val="none" w:sz="0" w:space="0" w:color="auto"/>
            <w:left w:val="none" w:sz="0" w:space="0" w:color="auto"/>
            <w:bottom w:val="none" w:sz="0" w:space="0" w:color="auto"/>
            <w:right w:val="none" w:sz="0" w:space="0" w:color="auto"/>
          </w:divBdr>
          <w:divsChild>
            <w:div w:id="14475088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68621769">
      <w:bodyDiv w:val="1"/>
      <w:marLeft w:val="0"/>
      <w:marRight w:val="0"/>
      <w:marTop w:val="0"/>
      <w:marBottom w:val="0"/>
      <w:divBdr>
        <w:top w:val="none" w:sz="0" w:space="0" w:color="auto"/>
        <w:left w:val="none" w:sz="0" w:space="0" w:color="auto"/>
        <w:bottom w:val="none" w:sz="0" w:space="0" w:color="auto"/>
        <w:right w:val="none" w:sz="0" w:space="0" w:color="auto"/>
      </w:divBdr>
    </w:div>
    <w:div w:id="1814905877">
      <w:bodyDiv w:val="1"/>
      <w:marLeft w:val="75"/>
      <w:marRight w:val="0"/>
      <w:marTop w:val="0"/>
      <w:marBottom w:val="0"/>
      <w:divBdr>
        <w:top w:val="none" w:sz="0" w:space="0" w:color="auto"/>
        <w:left w:val="none" w:sz="0" w:space="0" w:color="auto"/>
        <w:bottom w:val="none" w:sz="0" w:space="0" w:color="auto"/>
        <w:right w:val="none" w:sz="0" w:space="0" w:color="auto"/>
      </w:divBdr>
      <w:divsChild>
        <w:div w:id="886450355">
          <w:marLeft w:val="0"/>
          <w:marRight w:val="0"/>
          <w:marTop w:val="0"/>
          <w:marBottom w:val="0"/>
          <w:divBdr>
            <w:top w:val="none" w:sz="0" w:space="0" w:color="auto"/>
            <w:left w:val="none" w:sz="0" w:space="0" w:color="auto"/>
            <w:bottom w:val="none" w:sz="0" w:space="0" w:color="auto"/>
            <w:right w:val="none" w:sz="0" w:space="0" w:color="auto"/>
          </w:divBdr>
          <w:divsChild>
            <w:div w:id="10145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09920">
      <w:bodyDiv w:val="1"/>
      <w:marLeft w:val="0"/>
      <w:marRight w:val="0"/>
      <w:marTop w:val="0"/>
      <w:marBottom w:val="0"/>
      <w:divBdr>
        <w:top w:val="none" w:sz="0" w:space="0" w:color="auto"/>
        <w:left w:val="none" w:sz="0" w:space="0" w:color="auto"/>
        <w:bottom w:val="none" w:sz="0" w:space="0" w:color="auto"/>
        <w:right w:val="none" w:sz="0" w:space="0" w:color="auto"/>
      </w:divBdr>
    </w:div>
    <w:div w:id="1872372803">
      <w:bodyDiv w:val="1"/>
      <w:marLeft w:val="0"/>
      <w:marRight w:val="0"/>
      <w:marTop w:val="0"/>
      <w:marBottom w:val="0"/>
      <w:divBdr>
        <w:top w:val="none" w:sz="0" w:space="0" w:color="auto"/>
        <w:left w:val="none" w:sz="0" w:space="0" w:color="auto"/>
        <w:bottom w:val="none" w:sz="0" w:space="0" w:color="auto"/>
        <w:right w:val="none" w:sz="0" w:space="0" w:color="auto"/>
      </w:divBdr>
    </w:div>
    <w:div w:id="1891380302">
      <w:bodyDiv w:val="1"/>
      <w:marLeft w:val="0"/>
      <w:marRight w:val="0"/>
      <w:marTop w:val="0"/>
      <w:marBottom w:val="0"/>
      <w:divBdr>
        <w:top w:val="none" w:sz="0" w:space="0" w:color="auto"/>
        <w:left w:val="none" w:sz="0" w:space="0" w:color="auto"/>
        <w:bottom w:val="none" w:sz="0" w:space="0" w:color="auto"/>
        <w:right w:val="none" w:sz="0" w:space="0" w:color="auto"/>
      </w:divBdr>
    </w:div>
    <w:div w:id="1922710404">
      <w:bodyDiv w:val="1"/>
      <w:marLeft w:val="0"/>
      <w:marRight w:val="0"/>
      <w:marTop w:val="0"/>
      <w:marBottom w:val="0"/>
      <w:divBdr>
        <w:top w:val="none" w:sz="0" w:space="0" w:color="auto"/>
        <w:left w:val="none" w:sz="0" w:space="0" w:color="auto"/>
        <w:bottom w:val="none" w:sz="0" w:space="0" w:color="auto"/>
        <w:right w:val="none" w:sz="0" w:space="0" w:color="auto"/>
      </w:divBdr>
    </w:div>
    <w:div w:id="1955819305">
      <w:bodyDiv w:val="1"/>
      <w:marLeft w:val="0"/>
      <w:marRight w:val="0"/>
      <w:marTop w:val="0"/>
      <w:marBottom w:val="0"/>
      <w:divBdr>
        <w:top w:val="none" w:sz="0" w:space="0" w:color="auto"/>
        <w:left w:val="none" w:sz="0" w:space="0" w:color="auto"/>
        <w:bottom w:val="none" w:sz="0" w:space="0" w:color="auto"/>
        <w:right w:val="none" w:sz="0" w:space="0" w:color="auto"/>
      </w:divBdr>
      <w:divsChild>
        <w:div w:id="63377882">
          <w:marLeft w:val="0"/>
          <w:marRight w:val="0"/>
          <w:marTop w:val="0"/>
          <w:marBottom w:val="0"/>
          <w:divBdr>
            <w:top w:val="none" w:sz="0" w:space="0" w:color="auto"/>
            <w:left w:val="none" w:sz="0" w:space="0" w:color="auto"/>
            <w:bottom w:val="none" w:sz="0" w:space="0" w:color="auto"/>
            <w:right w:val="none" w:sz="0" w:space="0" w:color="auto"/>
          </w:divBdr>
        </w:div>
      </w:divsChild>
    </w:div>
    <w:div w:id="1971009802">
      <w:bodyDiv w:val="1"/>
      <w:marLeft w:val="0"/>
      <w:marRight w:val="0"/>
      <w:marTop w:val="0"/>
      <w:marBottom w:val="0"/>
      <w:divBdr>
        <w:top w:val="none" w:sz="0" w:space="0" w:color="auto"/>
        <w:left w:val="none" w:sz="0" w:space="0" w:color="auto"/>
        <w:bottom w:val="none" w:sz="0" w:space="0" w:color="auto"/>
        <w:right w:val="none" w:sz="0" w:space="0" w:color="auto"/>
      </w:divBdr>
      <w:divsChild>
        <w:div w:id="222719120">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1780563610">
                  <w:marLeft w:val="0"/>
                  <w:marRight w:val="0"/>
                  <w:marTop w:val="0"/>
                  <w:marBottom w:val="0"/>
                  <w:divBdr>
                    <w:top w:val="none" w:sz="0" w:space="0" w:color="auto"/>
                    <w:left w:val="none" w:sz="0" w:space="0" w:color="auto"/>
                    <w:bottom w:val="none" w:sz="0" w:space="0" w:color="auto"/>
                    <w:right w:val="none" w:sz="0" w:space="0" w:color="auto"/>
                  </w:divBdr>
                  <w:divsChild>
                    <w:div w:id="99959141">
                      <w:marLeft w:val="0"/>
                      <w:marRight w:val="0"/>
                      <w:marTop w:val="0"/>
                      <w:marBottom w:val="0"/>
                      <w:divBdr>
                        <w:top w:val="none" w:sz="0" w:space="0" w:color="auto"/>
                        <w:left w:val="none" w:sz="0" w:space="0" w:color="auto"/>
                        <w:bottom w:val="none" w:sz="0" w:space="0" w:color="auto"/>
                        <w:right w:val="none" w:sz="0" w:space="0" w:color="auto"/>
                      </w:divBdr>
                      <w:divsChild>
                        <w:div w:id="798375527">
                          <w:marLeft w:val="0"/>
                          <w:marRight w:val="0"/>
                          <w:marTop w:val="0"/>
                          <w:marBottom w:val="0"/>
                          <w:divBdr>
                            <w:top w:val="none" w:sz="0" w:space="0" w:color="auto"/>
                            <w:left w:val="none" w:sz="0" w:space="0" w:color="auto"/>
                            <w:bottom w:val="none" w:sz="0" w:space="0" w:color="auto"/>
                            <w:right w:val="none" w:sz="0" w:space="0" w:color="auto"/>
                          </w:divBdr>
                          <w:divsChild>
                            <w:div w:id="20193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8041">
      <w:bodyDiv w:val="1"/>
      <w:marLeft w:val="0"/>
      <w:marRight w:val="0"/>
      <w:marTop w:val="0"/>
      <w:marBottom w:val="0"/>
      <w:divBdr>
        <w:top w:val="none" w:sz="0" w:space="0" w:color="auto"/>
        <w:left w:val="none" w:sz="0" w:space="0" w:color="auto"/>
        <w:bottom w:val="none" w:sz="0" w:space="0" w:color="auto"/>
        <w:right w:val="none" w:sz="0" w:space="0" w:color="auto"/>
      </w:divBdr>
      <w:divsChild>
        <w:div w:id="218516445">
          <w:marLeft w:val="0"/>
          <w:marRight w:val="0"/>
          <w:marTop w:val="0"/>
          <w:marBottom w:val="0"/>
          <w:divBdr>
            <w:top w:val="none" w:sz="0" w:space="0" w:color="auto"/>
            <w:left w:val="none" w:sz="0" w:space="0" w:color="auto"/>
            <w:bottom w:val="none" w:sz="0" w:space="0" w:color="auto"/>
            <w:right w:val="none" w:sz="0" w:space="0" w:color="auto"/>
          </w:divBdr>
          <w:divsChild>
            <w:div w:id="291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514">
      <w:bodyDiv w:val="1"/>
      <w:marLeft w:val="0"/>
      <w:marRight w:val="0"/>
      <w:marTop w:val="0"/>
      <w:marBottom w:val="0"/>
      <w:divBdr>
        <w:top w:val="none" w:sz="0" w:space="0" w:color="auto"/>
        <w:left w:val="none" w:sz="0" w:space="0" w:color="auto"/>
        <w:bottom w:val="none" w:sz="0" w:space="0" w:color="auto"/>
        <w:right w:val="none" w:sz="0" w:space="0" w:color="auto"/>
      </w:divBdr>
      <w:divsChild>
        <w:div w:id="1515151880">
          <w:marLeft w:val="0"/>
          <w:marRight w:val="0"/>
          <w:marTop w:val="0"/>
          <w:marBottom w:val="0"/>
          <w:divBdr>
            <w:top w:val="none" w:sz="0" w:space="0" w:color="auto"/>
            <w:left w:val="none" w:sz="0" w:space="0" w:color="auto"/>
            <w:bottom w:val="none" w:sz="0" w:space="0" w:color="auto"/>
            <w:right w:val="none" w:sz="0" w:space="0" w:color="auto"/>
          </w:divBdr>
          <w:divsChild>
            <w:div w:id="14155885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171480">
      <w:bodyDiv w:val="1"/>
      <w:marLeft w:val="0"/>
      <w:marRight w:val="0"/>
      <w:marTop w:val="0"/>
      <w:marBottom w:val="0"/>
      <w:divBdr>
        <w:top w:val="none" w:sz="0" w:space="0" w:color="auto"/>
        <w:left w:val="none" w:sz="0" w:space="0" w:color="auto"/>
        <w:bottom w:val="none" w:sz="0" w:space="0" w:color="auto"/>
        <w:right w:val="none" w:sz="0" w:space="0" w:color="auto"/>
      </w:divBdr>
    </w:div>
    <w:div w:id="2046177815">
      <w:bodyDiv w:val="1"/>
      <w:marLeft w:val="0"/>
      <w:marRight w:val="0"/>
      <w:marTop w:val="0"/>
      <w:marBottom w:val="0"/>
      <w:divBdr>
        <w:top w:val="none" w:sz="0" w:space="0" w:color="auto"/>
        <w:left w:val="none" w:sz="0" w:space="0" w:color="auto"/>
        <w:bottom w:val="none" w:sz="0" w:space="0" w:color="auto"/>
        <w:right w:val="none" w:sz="0" w:space="0" w:color="auto"/>
      </w:divBdr>
    </w:div>
    <w:div w:id="2061322488">
      <w:bodyDiv w:val="1"/>
      <w:marLeft w:val="5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sChild>
            <w:div w:id="18586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5698">
      <w:bodyDiv w:val="1"/>
      <w:marLeft w:val="0"/>
      <w:marRight w:val="0"/>
      <w:marTop w:val="0"/>
      <w:marBottom w:val="0"/>
      <w:divBdr>
        <w:top w:val="none" w:sz="0" w:space="0" w:color="auto"/>
        <w:left w:val="none" w:sz="0" w:space="0" w:color="auto"/>
        <w:bottom w:val="none" w:sz="0" w:space="0" w:color="auto"/>
        <w:right w:val="none" w:sz="0" w:space="0" w:color="auto"/>
      </w:divBdr>
    </w:div>
    <w:div w:id="2138523461">
      <w:bodyDiv w:val="1"/>
      <w:marLeft w:val="0"/>
      <w:marRight w:val="0"/>
      <w:marTop w:val="0"/>
      <w:marBottom w:val="0"/>
      <w:divBdr>
        <w:top w:val="none" w:sz="0" w:space="0" w:color="auto"/>
        <w:left w:val="none" w:sz="0" w:space="0" w:color="auto"/>
        <w:bottom w:val="none" w:sz="0" w:space="0" w:color="auto"/>
        <w:right w:val="none" w:sz="0" w:space="0" w:color="auto"/>
      </w:divBdr>
      <w:divsChild>
        <w:div w:id="1888486674">
          <w:marLeft w:val="0"/>
          <w:marRight w:val="0"/>
          <w:marTop w:val="0"/>
          <w:marBottom w:val="0"/>
          <w:divBdr>
            <w:top w:val="none" w:sz="0" w:space="0" w:color="auto"/>
            <w:left w:val="none" w:sz="0" w:space="0" w:color="auto"/>
            <w:bottom w:val="none" w:sz="0" w:space="0" w:color="auto"/>
            <w:right w:val="none" w:sz="0" w:space="0" w:color="auto"/>
          </w:divBdr>
          <w:divsChild>
            <w:div w:id="1338843291">
              <w:marLeft w:val="0"/>
              <w:marRight w:val="0"/>
              <w:marTop w:val="0"/>
              <w:marBottom w:val="0"/>
              <w:divBdr>
                <w:top w:val="none" w:sz="0" w:space="0" w:color="auto"/>
                <w:left w:val="none" w:sz="0" w:space="0" w:color="auto"/>
                <w:bottom w:val="none" w:sz="0" w:space="0" w:color="auto"/>
                <w:right w:val="none" w:sz="0" w:space="0" w:color="auto"/>
              </w:divBdr>
              <w:divsChild>
                <w:div w:id="65609609">
                  <w:marLeft w:val="0"/>
                  <w:marRight w:val="0"/>
                  <w:marTop w:val="0"/>
                  <w:marBottom w:val="0"/>
                  <w:divBdr>
                    <w:top w:val="none" w:sz="0" w:space="0" w:color="auto"/>
                    <w:left w:val="none" w:sz="0" w:space="0" w:color="auto"/>
                    <w:bottom w:val="none" w:sz="0" w:space="0" w:color="auto"/>
                    <w:right w:val="none" w:sz="0" w:space="0" w:color="auto"/>
                  </w:divBdr>
                  <w:divsChild>
                    <w:div w:id="2061981021">
                      <w:marLeft w:val="0"/>
                      <w:marRight w:val="0"/>
                      <w:marTop w:val="0"/>
                      <w:marBottom w:val="0"/>
                      <w:divBdr>
                        <w:top w:val="single" w:sz="6" w:space="0" w:color="DCD9D9"/>
                        <w:left w:val="single" w:sz="6" w:space="0" w:color="DCD9D9"/>
                        <w:bottom w:val="single" w:sz="2" w:space="0" w:color="DCD9D9"/>
                        <w:right w:val="single" w:sz="6" w:space="0" w:color="DCD9D9"/>
                      </w:divBdr>
                      <w:divsChild>
                        <w:div w:id="958336301">
                          <w:marLeft w:val="0"/>
                          <w:marRight w:val="-100"/>
                          <w:marTop w:val="450"/>
                          <w:marBottom w:val="0"/>
                          <w:divBdr>
                            <w:top w:val="none" w:sz="0" w:space="0" w:color="auto"/>
                            <w:left w:val="none" w:sz="0" w:space="0" w:color="auto"/>
                            <w:bottom w:val="none" w:sz="0" w:space="0" w:color="auto"/>
                            <w:right w:val="none" w:sz="0" w:space="0" w:color="auto"/>
                          </w:divBdr>
                          <w:divsChild>
                            <w:div w:id="1638215661">
                              <w:marLeft w:val="0"/>
                              <w:marRight w:val="0"/>
                              <w:marTop w:val="0"/>
                              <w:marBottom w:val="0"/>
                              <w:divBdr>
                                <w:top w:val="none" w:sz="0" w:space="0" w:color="auto"/>
                                <w:left w:val="none" w:sz="0" w:space="0" w:color="auto"/>
                                <w:bottom w:val="none" w:sz="0" w:space="0" w:color="auto"/>
                                <w:right w:val="none" w:sz="0" w:space="0" w:color="auto"/>
                              </w:divBdr>
                              <w:divsChild>
                                <w:div w:id="1072122107">
                                  <w:marLeft w:val="0"/>
                                  <w:marRight w:val="0"/>
                                  <w:marTop w:val="0"/>
                                  <w:marBottom w:val="0"/>
                                  <w:divBdr>
                                    <w:top w:val="none" w:sz="0" w:space="0" w:color="auto"/>
                                    <w:left w:val="none" w:sz="0" w:space="0" w:color="auto"/>
                                    <w:bottom w:val="none" w:sz="0" w:space="0" w:color="auto"/>
                                    <w:right w:val="none" w:sz="0" w:space="0" w:color="auto"/>
                                  </w:divBdr>
                                  <w:divsChild>
                                    <w:div w:id="11885049">
                                      <w:marLeft w:val="0"/>
                                      <w:marRight w:val="0"/>
                                      <w:marTop w:val="0"/>
                                      <w:marBottom w:val="0"/>
                                      <w:divBdr>
                                        <w:top w:val="none" w:sz="0" w:space="0" w:color="auto"/>
                                        <w:left w:val="none" w:sz="0" w:space="0" w:color="auto"/>
                                        <w:bottom w:val="none" w:sz="0" w:space="0" w:color="auto"/>
                                        <w:right w:val="none" w:sz="0" w:space="0" w:color="auto"/>
                                      </w:divBdr>
                                      <w:divsChild>
                                        <w:div w:id="969434860">
                                          <w:marLeft w:val="0"/>
                                          <w:marRight w:val="0"/>
                                          <w:marTop w:val="0"/>
                                          <w:marBottom w:val="360"/>
                                          <w:divBdr>
                                            <w:top w:val="none" w:sz="0" w:space="0" w:color="auto"/>
                                            <w:left w:val="none" w:sz="0" w:space="0" w:color="auto"/>
                                            <w:bottom w:val="none" w:sz="0" w:space="0" w:color="auto"/>
                                            <w:right w:val="none" w:sz="0" w:space="0" w:color="auto"/>
                                          </w:divBdr>
                                          <w:divsChild>
                                            <w:div w:id="779111451">
                                              <w:marLeft w:val="0"/>
                                              <w:marRight w:val="0"/>
                                              <w:marTop w:val="0"/>
                                              <w:marBottom w:val="0"/>
                                              <w:divBdr>
                                                <w:top w:val="none" w:sz="0" w:space="0" w:color="auto"/>
                                                <w:left w:val="none" w:sz="0" w:space="0" w:color="auto"/>
                                                <w:bottom w:val="none" w:sz="0" w:space="0" w:color="auto"/>
                                                <w:right w:val="none" w:sz="0" w:space="0" w:color="auto"/>
                                              </w:divBdr>
                                              <w:divsChild>
                                                <w:div w:id="113981465">
                                                  <w:marLeft w:val="0"/>
                                                  <w:marRight w:val="0"/>
                                                  <w:marTop w:val="0"/>
                                                  <w:marBottom w:val="0"/>
                                                  <w:divBdr>
                                                    <w:top w:val="none" w:sz="0" w:space="0" w:color="auto"/>
                                                    <w:left w:val="none" w:sz="0" w:space="0" w:color="auto"/>
                                                    <w:bottom w:val="none" w:sz="0" w:space="0" w:color="auto"/>
                                                    <w:right w:val="none" w:sz="0" w:space="0" w:color="auto"/>
                                                  </w:divBdr>
                                                  <w:divsChild>
                                                    <w:div w:id="1036076190">
                                                      <w:marLeft w:val="0"/>
                                                      <w:marRight w:val="0"/>
                                                      <w:marTop w:val="0"/>
                                                      <w:marBottom w:val="0"/>
                                                      <w:divBdr>
                                                        <w:top w:val="none" w:sz="0" w:space="0" w:color="auto"/>
                                                        <w:left w:val="none" w:sz="0" w:space="0" w:color="auto"/>
                                                        <w:bottom w:val="none" w:sz="0" w:space="0" w:color="auto"/>
                                                        <w:right w:val="none" w:sz="0" w:space="0" w:color="auto"/>
                                                      </w:divBdr>
                                                      <w:divsChild>
                                                        <w:div w:id="542601275">
                                                          <w:marLeft w:val="0"/>
                                                          <w:marRight w:val="0"/>
                                                          <w:marTop w:val="0"/>
                                                          <w:marBottom w:val="0"/>
                                                          <w:divBdr>
                                                            <w:top w:val="none" w:sz="0" w:space="0" w:color="auto"/>
                                                            <w:left w:val="none" w:sz="0" w:space="0" w:color="auto"/>
                                                            <w:bottom w:val="none" w:sz="0" w:space="0" w:color="auto"/>
                                                            <w:right w:val="none" w:sz="0" w:space="0" w:color="auto"/>
                                                          </w:divBdr>
                                                          <w:divsChild>
                                                            <w:div w:id="768693331">
                                                              <w:marLeft w:val="0"/>
                                                              <w:marRight w:val="0"/>
                                                              <w:marTop w:val="0"/>
                                                              <w:marBottom w:val="0"/>
                                                              <w:divBdr>
                                                                <w:top w:val="none" w:sz="0" w:space="0" w:color="auto"/>
                                                                <w:left w:val="none" w:sz="0" w:space="0" w:color="auto"/>
                                                                <w:bottom w:val="none" w:sz="0" w:space="0" w:color="auto"/>
                                                                <w:right w:val="none" w:sz="0" w:space="0" w:color="auto"/>
                                                              </w:divBdr>
                                                              <w:divsChild>
                                                                <w:div w:id="18467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rn.com/abstract=1155237" TargetMode="External"/><Relationship Id="rId26" Type="http://schemas.openxmlformats.org/officeDocument/2006/relationships/hyperlink" Target="https://www.accc.gov.au/media-release/accc%E2%80%99s-draft-advice-on-water-charge-rules-to-increase-transparency-promote-efficiency-and-reduce-regulatory-burden" TargetMode="External"/><Relationship Id="rId39" Type="http://schemas.openxmlformats.org/officeDocument/2006/relationships/hyperlink" Target="https://www.aer.gov.au/communication/aer-publishes-ausnet-services-tariff-structure-statement" TargetMode="External"/><Relationship Id="rId21" Type="http://schemas.openxmlformats.org/officeDocument/2006/relationships/hyperlink" Target="http://www.accc.gov.au/media-release/accc-approves-long-term-agreements-at-viterra's-bulk-wheat-port-terminals" TargetMode="External"/><Relationship Id="rId34" Type="http://schemas.openxmlformats.org/officeDocument/2006/relationships/hyperlink" Target="http://www.aemc.gov.au/Rule-Changes/Expanding-competition-in-metering-and-related-serv" TargetMode="External"/><Relationship Id="rId42" Type="http://schemas.openxmlformats.org/officeDocument/2006/relationships/hyperlink" Target="https://www.aer.gov.au/news-release/aer-issues-preliminary-decisions-for-victoria" TargetMode="External"/><Relationship Id="rId47" Type="http://schemas.openxmlformats.org/officeDocument/2006/relationships/hyperlink" Target="http://www.escosa.sa.gov.au/projects/238/2015-ports-price-monitoring-report.aspx" TargetMode="External"/><Relationship Id="rId50" Type="http://schemas.openxmlformats.org/officeDocument/2006/relationships/hyperlink" Target="http://www.esc.vic.gov.au/Water/Review-of-Water-Pricing-Approach/Presentations-at-Water-Pricing-Approach-Conference" TargetMode="External"/><Relationship Id="rId55" Type="http://schemas.openxmlformats.org/officeDocument/2006/relationships/hyperlink" Target="https://www.erawa.com.au/cproot/13956/2/Brookfield%20Rail%20Segregation%20Arrangements%20Draft%20Decision%20Notice.pdf" TargetMode="External"/><Relationship Id="rId63" Type="http://schemas.openxmlformats.org/officeDocument/2006/relationships/hyperlink" Target="http://www.fondation.dauphine.fr/recherche/" TargetMode="External"/><Relationship Id="rId68" Type="http://schemas.openxmlformats.org/officeDocument/2006/relationships/hyperlink" Target="mailto:Genevieve.Pound@accc.gov.au"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hyperlink" Target="https://www.accc.gov.au/media-release/accc-fixed-line-services-decision-leads-to-one-off-uniform-fall-in-access-prices-of-94"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accc.gov.au/media-release/accc-decides-not-to-accept-brookfield%E2%80%99s-proposed-undertakings" TargetMode="External"/><Relationship Id="rId32" Type="http://schemas.openxmlformats.org/officeDocument/2006/relationships/hyperlink" Target="http://www.aemc.gov.au/News-Center/What-s-New/Announcements/Reforming-the-wholesale-gas-market-in-Victoria" TargetMode="External"/><Relationship Id="rId37" Type="http://schemas.openxmlformats.org/officeDocument/2006/relationships/hyperlink" Target="https://www.aer.gov.au/communication/aer-publishes-qld-nsw-and-act-electricity-distribution-businesses-tariff-structure-statement-proposals" TargetMode="External"/><Relationship Id="rId40" Type="http://schemas.openxmlformats.org/officeDocument/2006/relationships/hyperlink" Target="https://www.aer.gov.au/news-release/aer-issues-final-decisions-for-queensland" TargetMode="External"/><Relationship Id="rId45" Type="http://schemas.openxmlformats.org/officeDocument/2006/relationships/hyperlink" Target="http://www.qca.org.au/Rail/Queensland-Rail/More-on-QLD-Rail/Draft-Access-Undertaking" TargetMode="External"/><Relationship Id="rId53" Type="http://schemas.openxmlformats.org/officeDocument/2006/relationships/hyperlink" Target="http://www.esc.vic.gov.au/getattachment/84de565e-0328-4dad-99f4-b8afc5adfdd3/Media-Release-Commission-Invites-Public-Comment-on.pdf" TargetMode="External"/><Relationship Id="rId58" Type="http://schemas.openxmlformats.org/officeDocument/2006/relationships/hyperlink" Target="http://www.comcom.govt.nz/the-commission/media-centre/media-releases/detail/2015/commission-updates-process-for-input-methodologies-review" TargetMode="External"/><Relationship Id="rId66" Type="http://schemas.openxmlformats.org/officeDocument/2006/relationships/hyperlink" Target="mailto:Genevieve.Pound@accc.gov.au" TargetMode="External"/><Relationship Id="rId5" Type="http://schemas.microsoft.com/office/2007/relationships/stylesWithEffects" Target="stylesWithEffects.xml"/><Relationship Id="rId15" Type="http://schemas.openxmlformats.org/officeDocument/2006/relationships/hyperlink" Target="https://www.ofgem.gov.uk/sites/default/files/docs/2014/02/decision_on_equity_market_return_methodology_0.pdf" TargetMode="External"/><Relationship Id="rId23" Type="http://schemas.openxmlformats.org/officeDocument/2006/relationships/hyperlink" Target="https://www.accc.gov.au/media-release/accc-will-not-oppose-transurban-consortiums-proposed-acquisition-of-brisbanes-airportlink-m7" TargetMode="External"/><Relationship Id="rId28" Type="http://schemas.openxmlformats.org/officeDocument/2006/relationships/hyperlink" Target="https://www.accc.gov.au/media-release/waterfront-improvement-continues-though-new-entrants-face-challenges" TargetMode="External"/><Relationship Id="rId36" Type="http://schemas.openxmlformats.org/officeDocument/2006/relationships/hyperlink" Target="https://www.aer.gov.au/news-release/aer-publishes-victorian-distribution-networks-tariff-structure-statements" TargetMode="External"/><Relationship Id="rId49" Type="http://schemas.openxmlformats.org/officeDocument/2006/relationships/hyperlink" Target="http://www.escosa.sa.gov.au/library/20151020-Elec-2016RetailerFeed-inTariff-ValuePVExports-ACILAllenReport.pdf" TargetMode="External"/><Relationship Id="rId57" Type="http://schemas.openxmlformats.org/officeDocument/2006/relationships/hyperlink" Target="http://www.comcom.govt.nz/the-commission/media-centre/media-releases/detail/2015/final-decisions-on-fast-track-amendments-for-customised-paths-" TargetMode="External"/><Relationship Id="rId61" Type="http://schemas.openxmlformats.org/officeDocument/2006/relationships/hyperlink" Target="http://www.ipart.nsw.gov.au/files/sharedassets/website/trimholdingbay/review_of_regulated_retail_prices_and_charges_for_gas_from_1_july_2016_-_november_2015.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aemc.gov.au/News-Center/What-s-New/Announcements/AEMC-road-map-for-gas-market-development" TargetMode="External"/><Relationship Id="rId44" Type="http://schemas.openxmlformats.org/officeDocument/2006/relationships/hyperlink" Target="http://www.utilicom.nt.gov.au/Newsroom/Lists/Posts/Post.aspx?ID=207" TargetMode="External"/><Relationship Id="rId52" Type="http://schemas.openxmlformats.org/officeDocument/2006/relationships/hyperlink" Target="http://www.esc.vic.gov.au/Water/Water-Price-Review-2016-Melbourne-Water/publications" TargetMode="External"/><Relationship Id="rId60" Type="http://schemas.openxmlformats.org/officeDocument/2006/relationships/hyperlink" Target="http://www.icrc.act.gov.au/" TargetMode="External"/><Relationship Id="rId65" Type="http://schemas.openxmlformats.org/officeDocument/2006/relationships/hyperlink" Target="mailto:Robert.Albon@accc.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www.accc.gov.au/media-release/accc-does-not-object-to-draft-proposal-from-australia-post-for-a-1-stamp-price" TargetMode="External"/><Relationship Id="rId27" Type="http://schemas.openxmlformats.org/officeDocument/2006/relationships/hyperlink" Target="https://www.accc.gov.au/media-release/accc-proposes-to-declare-a-superfast-broadband-access-service" TargetMode="External"/><Relationship Id="rId30" Type="http://schemas.openxmlformats.org/officeDocument/2006/relationships/hyperlink" Target="https://www.accc.gov.au/media-release/accc-confirms-plan-to-exempt-two-port-kembla-wheat-ports" TargetMode="External"/><Relationship Id="rId35" Type="http://schemas.openxmlformats.org/officeDocument/2006/relationships/hyperlink" Target="http://www.aemc.gov.au/Rule-Changes/AEMO-access-to-demand-forecasting-information" TargetMode="External"/><Relationship Id="rId43" Type="http://schemas.openxmlformats.org/officeDocument/2006/relationships/hyperlink" Target="http://www.ipart.nsw.gov.au/Home/Industries/Electricity/Reviews/Retail_Pricing/Review_of_Solar_feed-in_tariffs_2015-16/News/Final_Report_for_Solar_feed_in_tariffs_for_2015_" TargetMode="External"/><Relationship Id="rId48" Type="http://schemas.openxmlformats.org/officeDocument/2006/relationships/hyperlink" Target="https://www.erawa.com.au/cproot/13956/2/Brookfield%20Rail%20Segregation%20Arrangements%20Draft%20Decision%20Notice.pdf" TargetMode="External"/><Relationship Id="rId56" Type="http://schemas.openxmlformats.org/officeDocument/2006/relationships/hyperlink" Target="http://www.comcom.govt.nz/the-commission/media-centre/media-releases/detail/2015/commission-welcomes-commercial-resolution-at-eastland-port" TargetMode="External"/><Relationship Id="rId64" Type="http://schemas.openxmlformats.org/officeDocument/2006/relationships/hyperlink" Target="http://www.premier.tas.gov.au/releases/economic_regulator"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esc.vic.gov.au/getattachment/221ab36d-3eab-42b4-847d-89342d68096f/Review-of-the-Victorian-Electricity-Distributors-G.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accc.gov.au/media-release/accc-welcomes-the-government%E2%80%99s-response-to-the-harper-review" TargetMode="External"/><Relationship Id="rId33" Type="http://schemas.openxmlformats.org/officeDocument/2006/relationships/hyperlink" Target="http://www.aemc.gov.au/News-Center/What-s-New/Announcements/Electricity-prices-largely-stable-but-uncertain" TargetMode="External"/><Relationship Id="rId38" Type="http://schemas.openxmlformats.org/officeDocument/2006/relationships/hyperlink" Target="https://www.aer.gov.au/node/42393" TargetMode="External"/><Relationship Id="rId46" Type="http://schemas.openxmlformats.org/officeDocument/2006/relationships/hyperlink" Target="http://www.escosa.sa.gov.au/projects/222/review-of-necf-in-south-australia.aspx" TargetMode="External"/><Relationship Id="rId59" Type="http://schemas.openxmlformats.org/officeDocument/2006/relationships/hyperlink" Target="https://www.ea.govt.nz/development/work-programme/transmission-distribution/distribution-pricing-review/consultations/" TargetMode="External"/><Relationship Id="rId67" Type="http://schemas.openxmlformats.org/officeDocument/2006/relationships/hyperlink" Target="mailto:Robert.Albon@accc.gov.au" TargetMode="External"/><Relationship Id="rId20" Type="http://schemas.openxmlformats.org/officeDocument/2006/relationships/footer" Target="footer6.xml"/><Relationship Id="rId41" Type="http://schemas.openxmlformats.org/officeDocument/2006/relationships/hyperlink" Target="https://www.aer.gov.au/news-release/aer-issues-final-decision-for-south-australia" TargetMode="External"/><Relationship Id="rId54" Type="http://schemas.openxmlformats.org/officeDocument/2006/relationships/hyperlink" Target="https://www.erawa.com.au/cproot/13971/2/Railways%20(Access)%20Code%202000%20-%20Notice%20of%20publication%20of%20submissions%20-%20draft%20report.pdf" TargetMode="External"/><Relationship Id="rId62" Type="http://schemas.openxmlformats.org/officeDocument/2006/relationships/hyperlink" Target="http://www.comcom.govt.nz/the-commission/media-centre/media-releases/detail/2015/commission-releases-draft-amendments-to-airport-land-valuation-rules"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CE4B9-D2FB-447D-BFD4-A3619135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858A2B26</Template>
  <TotalTime>1</TotalTime>
  <Pages>16</Pages>
  <Words>9053</Words>
  <Characters>56606</Characters>
  <Application>Microsoft Office Word</Application>
  <DocSecurity>4</DocSecurity>
  <Lines>471</Lines>
  <Paragraphs>131</Paragraphs>
  <ScaleCrop>false</ScaleCrop>
  <HeadingPairs>
    <vt:vector size="2" baseType="variant">
      <vt:variant>
        <vt:lpstr>Title</vt:lpstr>
      </vt:variant>
      <vt:variant>
        <vt:i4>1</vt:i4>
      </vt:variant>
    </vt:vector>
  </HeadingPairs>
  <TitlesOfParts>
    <vt:vector size="1" baseType="lpstr">
      <vt:lpstr>Issue 32 April 2009</vt:lpstr>
    </vt:vector>
  </TitlesOfParts>
  <Company>ACCC</Company>
  <LinksUpToDate>false</LinksUpToDate>
  <CharactersWithSpaces>65528</CharactersWithSpaces>
  <SharedDoc>false</SharedDoc>
  <HLinks>
    <vt:vector size="564" baseType="variant">
      <vt:variant>
        <vt:i4>5505088</vt:i4>
      </vt:variant>
      <vt:variant>
        <vt:i4>264</vt:i4>
      </vt:variant>
      <vt:variant>
        <vt:i4>0</vt:i4>
      </vt:variant>
      <vt:variant>
        <vt:i4>5</vt:i4>
      </vt:variant>
      <vt:variant>
        <vt:lpwstr>http://www.accc.gov.au/about-us/conferences-events/accc/aer-regulatory-conference/accc/aer-regulatory-conference-2013</vt:lpwstr>
      </vt:variant>
      <vt:variant>
        <vt:lpwstr/>
      </vt:variant>
      <vt:variant>
        <vt:i4>1703947</vt:i4>
      </vt:variant>
      <vt:variant>
        <vt:i4>261</vt:i4>
      </vt:variant>
      <vt:variant>
        <vt:i4>0</vt:i4>
      </vt:variant>
      <vt:variant>
        <vt:i4>5</vt:i4>
      </vt:variant>
      <vt:variant>
        <vt:lpwstr>http://www.escosa.sa.gov.au/Publications/DownloadPublication.aspx?id=2503&amp;versionId=2640</vt:lpwstr>
      </vt:variant>
      <vt:variant>
        <vt:lpwstr/>
      </vt:variant>
      <vt:variant>
        <vt:i4>4194371</vt:i4>
      </vt:variant>
      <vt:variant>
        <vt:i4>258</vt:i4>
      </vt:variant>
      <vt:variant>
        <vt:i4>0</vt:i4>
      </vt:variant>
      <vt:variant>
        <vt:i4>5</vt:i4>
      </vt:variant>
      <vt:variant>
        <vt:lpwstr>http://www.qca.org.au/files/ER-ACIL-DraftReport-EWEC201314-RetTariff-0213.pdf</vt:lpwstr>
      </vt:variant>
      <vt:variant>
        <vt:lpwstr/>
      </vt:variant>
      <vt:variant>
        <vt:i4>4128878</vt:i4>
      </vt:variant>
      <vt:variant>
        <vt:i4>255</vt:i4>
      </vt:variant>
      <vt:variant>
        <vt:i4>0</vt:i4>
      </vt:variant>
      <vt:variant>
        <vt:i4>5</vt:i4>
      </vt:variant>
      <vt:variant>
        <vt:lpwstr>http://www.qca.org.au/files/ER-QCA-DraftDeterm-RREP201314-0213.pdf</vt:lpwstr>
      </vt:variant>
      <vt:variant>
        <vt:lpwstr/>
      </vt:variant>
      <vt:variant>
        <vt:i4>3997727</vt:i4>
      </vt:variant>
      <vt:variant>
        <vt:i4>252</vt:i4>
      </vt:variant>
      <vt:variant>
        <vt:i4>0</vt:i4>
      </vt:variant>
      <vt:variant>
        <vt:i4>5</vt:i4>
      </vt:variant>
      <vt:variant>
        <vt:lpwstr>http://www.ipart.nsw.gov.au/Home/Industries/Water/Reviews/Metro_Pricing/Review_of_prices_for_Hunter_Water_Corporation_from_1_July_2013</vt:lpwstr>
      </vt:variant>
      <vt:variant>
        <vt:lpwstr/>
      </vt:variant>
      <vt:variant>
        <vt:i4>3342460</vt:i4>
      </vt:variant>
      <vt:variant>
        <vt:i4>249</vt:i4>
      </vt:variant>
      <vt:variant>
        <vt:i4>0</vt:i4>
      </vt:variant>
      <vt:variant>
        <vt:i4>5</vt:i4>
      </vt:variant>
      <vt:variant>
        <vt:lpwstr>http://www.comcom.govt.nz/media-releases/detail/2013/new-report-tracks-electricity-distributor-trends-2008-2011</vt:lpwstr>
      </vt:variant>
      <vt:variant>
        <vt:lpwstr/>
      </vt:variant>
      <vt:variant>
        <vt:i4>1245191</vt:i4>
      </vt:variant>
      <vt:variant>
        <vt:i4>246</vt:i4>
      </vt:variant>
      <vt:variant>
        <vt:i4>0</vt:i4>
      </vt:variant>
      <vt:variant>
        <vt:i4>5</vt:i4>
      </vt:variant>
      <vt:variant>
        <vt:lpwstr>http://www.comcom.govt.nz/media-releases/detail/2013/commerce-commission-final-report-on-wellington-international-airport-points-to-excessive-profits</vt:lpwstr>
      </vt:variant>
      <vt:variant>
        <vt:lpwstr/>
      </vt:variant>
      <vt:variant>
        <vt:i4>983131</vt:i4>
      </vt:variant>
      <vt:variant>
        <vt:i4>243</vt:i4>
      </vt:variant>
      <vt:variant>
        <vt:i4>0</vt:i4>
      </vt:variant>
      <vt:variant>
        <vt:i4>5</vt:i4>
      </vt:variant>
      <vt:variant>
        <vt:lpwstr>http://www.comcom.govt.nz/media-releases/detail/2013/commerce-commission-sets-prices-and-quality-standards-for-gas-pipeline-services</vt:lpwstr>
      </vt:variant>
      <vt:variant>
        <vt:lpwstr/>
      </vt:variant>
      <vt:variant>
        <vt:i4>131155</vt:i4>
      </vt:variant>
      <vt:variant>
        <vt:i4>240</vt:i4>
      </vt:variant>
      <vt:variant>
        <vt:i4>0</vt:i4>
      </vt:variant>
      <vt:variant>
        <vt:i4>5</vt:i4>
      </vt:variant>
      <vt:variant>
        <vt:lpwstr>http://www.comcom.govt.nz/media-releases/detail/2013/suppliers-providing-telecommunications-services-must-check-liability-for-telecommunications-development-levy</vt:lpwstr>
      </vt:variant>
      <vt:variant>
        <vt:lpwstr/>
      </vt:variant>
      <vt:variant>
        <vt:i4>1966086</vt:i4>
      </vt:variant>
      <vt:variant>
        <vt:i4>237</vt:i4>
      </vt:variant>
      <vt:variant>
        <vt:i4>0</vt:i4>
      </vt:variant>
      <vt:variant>
        <vt:i4>5</vt:i4>
      </vt:variant>
      <vt:variant>
        <vt:lpwstr>http://www.comcom.govt.nz/media-releases/detail/2013/commission-announces-next-step-in-setting-uba-price</vt:lpwstr>
      </vt:variant>
      <vt:variant>
        <vt:lpwstr/>
      </vt:variant>
      <vt:variant>
        <vt:i4>4587586</vt:i4>
      </vt:variant>
      <vt:variant>
        <vt:i4>234</vt:i4>
      </vt:variant>
      <vt:variant>
        <vt:i4>0</vt:i4>
      </vt:variant>
      <vt:variant>
        <vt:i4>5</vt:i4>
      </vt:variant>
      <vt:variant>
        <vt:lpwstr>http://www.comcom.govt.nz/media-releases/detail/2013/commission-approves-amendment-to-costs-transpower-can-recover-for-otahuhu-substation-project</vt:lpwstr>
      </vt:variant>
      <vt:variant>
        <vt:lpwstr/>
      </vt:variant>
      <vt:variant>
        <vt:i4>3932216</vt:i4>
      </vt:variant>
      <vt:variant>
        <vt:i4>231</vt:i4>
      </vt:variant>
      <vt:variant>
        <vt:i4>0</vt:i4>
      </vt:variant>
      <vt:variant>
        <vt:i4>5</vt:i4>
      </vt:variant>
      <vt:variant>
        <vt:lpwstr>http://www.comcom.govt.nz/regulated-industries-media-releases/detail/2013/commission-issues-draft-report-on-auckland-international-airport</vt:lpwstr>
      </vt:variant>
      <vt:variant>
        <vt:lpwstr/>
      </vt:variant>
      <vt:variant>
        <vt:i4>6684788</vt:i4>
      </vt:variant>
      <vt:variant>
        <vt:i4>228</vt:i4>
      </vt:variant>
      <vt:variant>
        <vt:i4>0</vt:i4>
      </vt:variant>
      <vt:variant>
        <vt:i4>5</vt:i4>
      </vt:variant>
      <vt:variant>
        <vt:lpwstr>http://www.erawa.com.au/cproot/11039/2/20121221 - D101413 - Consultation Paper_RoR Guidelines_for publication.pdf</vt:lpwstr>
      </vt:variant>
      <vt:variant>
        <vt:lpwstr/>
      </vt:variant>
      <vt:variant>
        <vt:i4>5242904</vt:i4>
      </vt:variant>
      <vt:variant>
        <vt:i4>225</vt:i4>
      </vt:variant>
      <vt:variant>
        <vt:i4>0</vt:i4>
      </vt:variant>
      <vt:variant>
        <vt:i4>5</vt:i4>
      </vt:variant>
      <vt:variant>
        <vt:lpwstr>http://www.erawa.com.au/cproot/11135/2/20130207 - D101455 - Issues Paper - Railways %28Access%29 Code 2000 - Weighted Average Cost of Capital - WACC Determination - Railway Networks.pdf</vt:lpwstr>
      </vt:variant>
      <vt:variant>
        <vt:lpwstr/>
      </vt:variant>
      <vt:variant>
        <vt:i4>5308495</vt:i4>
      </vt:variant>
      <vt:variant>
        <vt:i4>222</vt:i4>
      </vt:variant>
      <vt:variant>
        <vt:i4>0</vt:i4>
      </vt:variant>
      <vt:variant>
        <vt:i4>5</vt:i4>
      </vt:variant>
      <vt:variant>
        <vt:lpwstr>http://www.erawa.com.au/access/gas-access/guidelines/</vt:lpwstr>
      </vt:variant>
      <vt:variant>
        <vt:lpwstr/>
      </vt:variant>
      <vt:variant>
        <vt:i4>8257655</vt:i4>
      </vt:variant>
      <vt:variant>
        <vt:i4>219</vt:i4>
      </vt:variant>
      <vt:variant>
        <vt:i4>0</vt:i4>
      </vt:variant>
      <vt:variant>
        <vt:i4>5</vt:i4>
      </vt:variant>
      <vt:variant>
        <vt:lpwstr>http://www.esc.vic.gov.au/Water/Return-of-the-Desalination-Over-Collection</vt:lpwstr>
      </vt:variant>
      <vt:variant>
        <vt:lpwstr/>
      </vt:variant>
      <vt:variant>
        <vt:i4>3407996</vt:i4>
      </vt:variant>
      <vt:variant>
        <vt:i4>216</vt:i4>
      </vt:variant>
      <vt:variant>
        <vt:i4>0</vt:i4>
      </vt:variant>
      <vt:variant>
        <vt:i4>5</vt:i4>
      </vt:variant>
      <vt:variant>
        <vt:lpwstr>http://www.esc.vic.gov.au/Water/Water-Price-Review-2013-18</vt:lpwstr>
      </vt:variant>
      <vt:variant>
        <vt:lpwstr/>
      </vt:variant>
      <vt:variant>
        <vt:i4>6946912</vt:i4>
      </vt:variant>
      <vt:variant>
        <vt:i4>213</vt:i4>
      </vt:variant>
      <vt:variant>
        <vt:i4>0</vt:i4>
      </vt:variant>
      <vt:variant>
        <vt:i4>5</vt:i4>
      </vt:variant>
      <vt:variant>
        <vt:lpwstr>http://www.esc.vic.gov.au/getattachment/82f71903-fb8c-4462-9417-156e86793d88/Regional-water-price-review-2013-18-Draft-decision.pdf</vt:lpwstr>
      </vt:variant>
      <vt:variant>
        <vt:lpwstr/>
      </vt:variant>
      <vt:variant>
        <vt:i4>6881329</vt:i4>
      </vt:variant>
      <vt:variant>
        <vt:i4>210</vt:i4>
      </vt:variant>
      <vt:variant>
        <vt:i4>0</vt:i4>
      </vt:variant>
      <vt:variant>
        <vt:i4>5</vt:i4>
      </vt:variant>
      <vt:variant>
        <vt:lpwstr>http://www.esc.vic.gov.au/getattachment/4594ef0b-602a-4750-bd1c-74faaf65a4e8/Regional-water-price-review-2013-18-Draft-decision.pdf</vt:lpwstr>
      </vt:variant>
      <vt:variant>
        <vt:lpwstr/>
      </vt:variant>
      <vt:variant>
        <vt:i4>524356</vt:i4>
      </vt:variant>
      <vt:variant>
        <vt:i4>207</vt:i4>
      </vt:variant>
      <vt:variant>
        <vt:i4>0</vt:i4>
      </vt:variant>
      <vt:variant>
        <vt:i4>5</vt:i4>
      </vt:variant>
      <vt:variant>
        <vt:lpwstr>http://www.energyregulator.tas.gov.au/domino/otter.nsf/LookupFiles/13254_Media_release_2011-12_Energy_in_Tasmania_Performance_Report_130123.pdf/$file/13254_Media_release_2011-12_Energy_in_Tasmania_Performance_Report_130123.pdf</vt:lpwstr>
      </vt:variant>
      <vt:variant>
        <vt:lpwstr/>
      </vt:variant>
      <vt:variant>
        <vt:i4>5832830</vt:i4>
      </vt:variant>
      <vt:variant>
        <vt:i4>204</vt:i4>
      </vt:variant>
      <vt:variant>
        <vt:i4>0</vt:i4>
      </vt:variant>
      <vt:variant>
        <vt:i4>5</vt:i4>
      </vt:variant>
      <vt:variant>
        <vt:lpwstr>http://www.energyregulator.tas.gov.au/domino/otter.nsf/LookupFiles/13569_Water_and_Sewerage_Accounting_Ringfencing_Guideline_and_Templates_Consultation_Paper_14_February_2013.pdf/$file/13569_Water_and_Sewerage_Accounting_Ringfencing_Guideline_and_Templates_Consultation_Paper_14_February_2013.pdf</vt:lpwstr>
      </vt:variant>
      <vt:variant>
        <vt:lpwstr/>
      </vt:variant>
      <vt:variant>
        <vt:i4>2228329</vt:i4>
      </vt:variant>
      <vt:variant>
        <vt:i4>201</vt:i4>
      </vt:variant>
      <vt:variant>
        <vt:i4>0</vt:i4>
      </vt:variant>
      <vt:variant>
        <vt:i4>5</vt:i4>
      </vt:variant>
      <vt:variant>
        <vt:lpwstr>http://www.economicregulator.tas.gov.au/domino/otter.nsf/8f46477f11c891c7ca256c4b001b41f2/6c7eb162b699fea6ca257b47001f66b4?OpenDocument</vt:lpwstr>
      </vt:variant>
      <vt:variant>
        <vt:lpwstr/>
      </vt:variant>
      <vt:variant>
        <vt:i4>2293861</vt:i4>
      </vt:variant>
      <vt:variant>
        <vt:i4>198</vt:i4>
      </vt:variant>
      <vt:variant>
        <vt:i4>0</vt:i4>
      </vt:variant>
      <vt:variant>
        <vt:i4>5</vt:i4>
      </vt:variant>
      <vt:variant>
        <vt:lpwstr>http://www.economicregulator.tas.gov.au/domino/otter.nsf/8f46477f11c891c7ca256c4b001b41f2/02ba4c0a625a80c4ca257a8b000cc718?OpenDocument</vt:lpwstr>
      </vt:variant>
      <vt:variant>
        <vt:lpwstr/>
      </vt:variant>
      <vt:variant>
        <vt:i4>3080302</vt:i4>
      </vt:variant>
      <vt:variant>
        <vt:i4>195</vt:i4>
      </vt:variant>
      <vt:variant>
        <vt:i4>0</vt:i4>
      </vt:variant>
      <vt:variant>
        <vt:i4>5</vt:i4>
      </vt:variant>
      <vt:variant>
        <vt:lpwstr>http://www.economicregulator.tas.gov.au/domino/otter.nsf/LookupFiles/13979_Media_Release_2013_Price_Comparison_Report_April_2013.PDF/$file/13979_Media_Release_2013_Price_Comparison_Report_April_2013.PDF</vt:lpwstr>
      </vt:variant>
      <vt:variant>
        <vt:lpwstr/>
      </vt:variant>
      <vt:variant>
        <vt:i4>4390986</vt:i4>
      </vt:variant>
      <vt:variant>
        <vt:i4>192</vt:i4>
      </vt:variant>
      <vt:variant>
        <vt:i4>0</vt:i4>
      </vt:variant>
      <vt:variant>
        <vt:i4>5</vt:i4>
      </vt:variant>
      <vt:variant>
        <vt:lpwstr>http://www.escosa.sa.gov.au/library/130312-PostNECFReviewRegulatoryInstruments-FactSheet.pdf</vt:lpwstr>
      </vt:variant>
      <vt:variant>
        <vt:lpwstr/>
      </vt:variant>
      <vt:variant>
        <vt:i4>1966096</vt:i4>
      </vt:variant>
      <vt:variant>
        <vt:i4>189</vt:i4>
      </vt:variant>
      <vt:variant>
        <vt:i4>0</vt:i4>
      </vt:variant>
      <vt:variant>
        <vt:i4>5</vt:i4>
      </vt:variant>
      <vt:variant>
        <vt:lpwstr>http://www.escosa.sa.gov.au/article/newsdetail.aspx?p=16&amp;id=1106</vt:lpwstr>
      </vt:variant>
      <vt:variant>
        <vt:lpwstr/>
      </vt:variant>
      <vt:variant>
        <vt:i4>1966096</vt:i4>
      </vt:variant>
      <vt:variant>
        <vt:i4>186</vt:i4>
      </vt:variant>
      <vt:variant>
        <vt:i4>0</vt:i4>
      </vt:variant>
      <vt:variant>
        <vt:i4>5</vt:i4>
      </vt:variant>
      <vt:variant>
        <vt:lpwstr>http://www.escosa.sa.gov.au/article/newsdetail.aspx?p=16&amp;id=1106</vt:lpwstr>
      </vt:variant>
      <vt:variant>
        <vt:lpwstr/>
      </vt:variant>
      <vt:variant>
        <vt:i4>1114128</vt:i4>
      </vt:variant>
      <vt:variant>
        <vt:i4>183</vt:i4>
      </vt:variant>
      <vt:variant>
        <vt:i4>0</vt:i4>
      </vt:variant>
      <vt:variant>
        <vt:i4>5</vt:i4>
      </vt:variant>
      <vt:variant>
        <vt:lpwstr>http://www.escosa.sa.gov.au/article/newsdetail.aspx?p=16&amp;id=1109</vt:lpwstr>
      </vt:variant>
      <vt:variant>
        <vt:lpwstr/>
      </vt:variant>
      <vt:variant>
        <vt:i4>1703953</vt:i4>
      </vt:variant>
      <vt:variant>
        <vt:i4>180</vt:i4>
      </vt:variant>
      <vt:variant>
        <vt:i4>0</vt:i4>
      </vt:variant>
      <vt:variant>
        <vt:i4>5</vt:i4>
      </vt:variant>
      <vt:variant>
        <vt:lpwstr>http://www.escosa.sa.gov.au/article/newsdetail.aspx?p=16&amp;id=1112</vt:lpwstr>
      </vt:variant>
      <vt:variant>
        <vt:lpwstr/>
      </vt:variant>
      <vt:variant>
        <vt:i4>1900561</vt:i4>
      </vt:variant>
      <vt:variant>
        <vt:i4>177</vt:i4>
      </vt:variant>
      <vt:variant>
        <vt:i4>0</vt:i4>
      </vt:variant>
      <vt:variant>
        <vt:i4>5</vt:i4>
      </vt:variant>
      <vt:variant>
        <vt:lpwstr>http://www.escosa.sa.gov.au/article/newsdetail.aspx?p=16&amp;id=1115</vt:lpwstr>
      </vt:variant>
      <vt:variant>
        <vt:lpwstr/>
      </vt:variant>
      <vt:variant>
        <vt:i4>131155</vt:i4>
      </vt:variant>
      <vt:variant>
        <vt:i4>174</vt:i4>
      </vt:variant>
      <vt:variant>
        <vt:i4>0</vt:i4>
      </vt:variant>
      <vt:variant>
        <vt:i4>5</vt:i4>
      </vt:variant>
      <vt:variant>
        <vt:lpwstr>http://www.escosa.sa.gov.au/projects/projectdetails.aspx?p=69&amp;id=192</vt:lpwstr>
      </vt:variant>
      <vt:variant>
        <vt:lpwstr/>
      </vt:variant>
      <vt:variant>
        <vt:i4>5373963</vt:i4>
      </vt:variant>
      <vt:variant>
        <vt:i4>171</vt:i4>
      </vt:variant>
      <vt:variant>
        <vt:i4>0</vt:i4>
      </vt:variant>
      <vt:variant>
        <vt:i4>5</vt:i4>
      </vt:variant>
      <vt:variant>
        <vt:lpwstr>http://www.qca.org.au/water/SEQRetailPriceMon201315/</vt:lpwstr>
      </vt:variant>
      <vt:variant>
        <vt:lpwstr/>
      </vt:variant>
      <vt:variant>
        <vt:i4>2621549</vt:i4>
      </vt:variant>
      <vt:variant>
        <vt:i4>168</vt:i4>
      </vt:variant>
      <vt:variant>
        <vt:i4>0</vt:i4>
      </vt:variant>
      <vt:variant>
        <vt:i4>5</vt:i4>
      </vt:variant>
      <vt:variant>
        <vt:lpwstr>http://www.qca.org.au/files/R-QCA-IssuesPaper-SUFADAAU2012-0213.pdf</vt:lpwstr>
      </vt:variant>
      <vt:variant>
        <vt:lpwstr/>
      </vt:variant>
      <vt:variant>
        <vt:i4>1179735</vt:i4>
      </vt:variant>
      <vt:variant>
        <vt:i4>165</vt:i4>
      </vt:variant>
      <vt:variant>
        <vt:i4>0</vt:i4>
      </vt:variant>
      <vt:variant>
        <vt:i4>5</vt:i4>
      </vt:variant>
      <vt:variant>
        <vt:lpwstr>http://www.qca.org.au/water/SEQIrrigPrices/issuesarising2.php</vt:lpwstr>
      </vt:variant>
      <vt:variant>
        <vt:lpwstr/>
      </vt:variant>
      <vt:variant>
        <vt:i4>7405603</vt:i4>
      </vt:variant>
      <vt:variant>
        <vt:i4>162</vt:i4>
      </vt:variant>
      <vt:variant>
        <vt:i4>0</vt:i4>
      </vt:variant>
      <vt:variant>
        <vt:i4>5</vt:i4>
      </vt:variant>
      <vt:variant>
        <vt:lpwstr>http://www.qca.org.au/files/OBPR-GOV-FinalReport-MRBR-0313.pdf</vt:lpwstr>
      </vt:variant>
      <vt:variant>
        <vt:lpwstr/>
      </vt:variant>
      <vt:variant>
        <vt:i4>2490400</vt:i4>
      </vt:variant>
      <vt:variant>
        <vt:i4>159</vt:i4>
      </vt:variant>
      <vt:variant>
        <vt:i4>0</vt:i4>
      </vt:variant>
      <vt:variant>
        <vt:i4>5</vt:i4>
      </vt:variant>
      <vt:variant>
        <vt:lpwstr>http://www.qca.org.au/rail/2010-DAUamend/PropSndRailConAgr/</vt:lpwstr>
      </vt:variant>
      <vt:variant>
        <vt:lpwstr/>
      </vt:variant>
      <vt:variant>
        <vt:i4>7667720</vt:i4>
      </vt:variant>
      <vt:variant>
        <vt:i4>156</vt:i4>
      </vt:variant>
      <vt:variant>
        <vt:i4>0</vt:i4>
      </vt:variant>
      <vt:variant>
        <vt:i4>5</vt:i4>
      </vt:variant>
      <vt:variant>
        <vt:lpwstr>http://www.qca.org.au/electricity-retail/Review_Of_Solar_Feed/FinalReport.php</vt:lpwstr>
      </vt:variant>
      <vt:variant>
        <vt:lpwstr/>
      </vt:variant>
      <vt:variant>
        <vt:i4>1703962</vt:i4>
      </vt:variant>
      <vt:variant>
        <vt:i4>153</vt:i4>
      </vt:variant>
      <vt:variant>
        <vt:i4>0</vt:i4>
      </vt:variant>
      <vt:variant>
        <vt:i4>5</vt:i4>
      </vt:variant>
      <vt:variant>
        <vt:lpwstr>http://www.qca.org.au/water/SEQRetailPriceMon/1213review.php</vt:lpwstr>
      </vt:variant>
      <vt:variant>
        <vt:lpwstr/>
      </vt:variant>
      <vt:variant>
        <vt:i4>6422573</vt:i4>
      </vt:variant>
      <vt:variant>
        <vt:i4>150</vt:i4>
      </vt:variant>
      <vt:variant>
        <vt:i4>0</vt:i4>
      </vt:variant>
      <vt:variant>
        <vt:i4>5</vt:i4>
      </vt:variant>
      <vt:variant>
        <vt:lpwstr>http://www.qca.org.au/rail/2010-DAUamend/GAPEDAAU/</vt:lpwstr>
      </vt:variant>
      <vt:variant>
        <vt:lpwstr/>
      </vt:variant>
      <vt:variant>
        <vt:i4>1245254</vt:i4>
      </vt:variant>
      <vt:variant>
        <vt:i4>147</vt:i4>
      </vt:variant>
      <vt:variant>
        <vt:i4>0</vt:i4>
      </vt:variant>
      <vt:variant>
        <vt:i4>5</vt:i4>
      </vt:variant>
      <vt:variant>
        <vt:lpwstr>http://www.qca.org.au/rail/2010-DAUamend/ANEDAAUAPR2013/</vt:lpwstr>
      </vt:variant>
      <vt:variant>
        <vt:lpwstr/>
      </vt:variant>
      <vt:variant>
        <vt:i4>1900555</vt:i4>
      </vt:variant>
      <vt:variant>
        <vt:i4>144</vt:i4>
      </vt:variant>
      <vt:variant>
        <vt:i4>0</vt:i4>
      </vt:variant>
      <vt:variant>
        <vt:i4>5</vt:i4>
      </vt:variant>
      <vt:variant>
        <vt:lpwstr>http://www.utilicom.nt.gov.au/PMS/Publications/VS130218 - Media Release Commission February 2013.pdf</vt:lpwstr>
      </vt:variant>
      <vt:variant>
        <vt:lpwstr/>
      </vt:variant>
      <vt:variant>
        <vt:i4>8061055</vt:i4>
      </vt:variant>
      <vt:variant>
        <vt:i4>141</vt:i4>
      </vt:variant>
      <vt:variant>
        <vt:i4>0</vt:i4>
      </vt:variant>
      <vt:variant>
        <vt:i4>5</vt:i4>
      </vt:variant>
      <vt:variant>
        <vt:lpwstr>http://www.utilicom.nt.gov.au/Newsroom/Lists/Posts/Post.aspx?ID=153</vt:lpwstr>
      </vt:variant>
      <vt:variant>
        <vt:lpwstr/>
      </vt:variant>
      <vt:variant>
        <vt:i4>1835095</vt:i4>
      </vt:variant>
      <vt:variant>
        <vt:i4>138</vt:i4>
      </vt:variant>
      <vt:variant>
        <vt:i4>0</vt:i4>
      </vt:variant>
      <vt:variant>
        <vt:i4>5</vt:i4>
      </vt:variant>
      <vt:variant>
        <vt:lpwstr>http://www.ipart.nsw.gov.au/Home/Industries/Water/Private_Sector_Licensing_WICA/WICA_Static_Links/IPARTs_Submission_-_Review_of_WIC_Act_and_regulatory_arrangements_for_recycled_water_-_February_2013</vt:lpwstr>
      </vt:variant>
      <vt:variant>
        <vt:lpwstr/>
      </vt:variant>
      <vt:variant>
        <vt:i4>1441857</vt:i4>
      </vt:variant>
      <vt:variant>
        <vt:i4>135</vt:i4>
      </vt:variant>
      <vt:variant>
        <vt:i4>0</vt:i4>
      </vt:variant>
      <vt:variant>
        <vt:i4>5</vt:i4>
      </vt:variant>
      <vt:variant>
        <vt:lpwstr>http://www.ipart.nsw.gov.au/Home/Industries/Water/Reviews/Metro_Pricing/Review_of_prices_for_Gosford_City_Council_and_Wyong_Shire_Council_from_1_July_2013/19_Feb_2013_-_Draft_Report/Draft_Report_-_Gosford_City_Council_and_Wyong_Shire_Council_-_Prices_for_water_sewerage_and_stormwater_drainage_services_from_1_July_2013_to_30_June_2017_-_February_2013</vt:lpwstr>
      </vt:variant>
      <vt:variant>
        <vt:lpwstr/>
      </vt:variant>
      <vt:variant>
        <vt:i4>4915223</vt:i4>
      </vt:variant>
      <vt:variant>
        <vt:i4>132</vt:i4>
      </vt:variant>
      <vt:variant>
        <vt:i4>0</vt:i4>
      </vt:variant>
      <vt:variant>
        <vt:i4>5</vt:i4>
      </vt:variant>
      <vt:variant>
        <vt:lpwstr>http://www.ipart.nsw.gov.au/Home/Industries/Water/Reviews/Licensing_-_State_Water_Corporation/End_of_Term_Review_of_State_Water_Operating_Licence_2012-2013/20_Feb_2013_-_Fact_Sheet_-_Draft_Operating_Licence/Fact_Sheet_-_State_Waters_Operating_Licence_-_sum</vt:lpwstr>
      </vt:variant>
      <vt:variant>
        <vt:lpwstr/>
      </vt:variant>
      <vt:variant>
        <vt:i4>6422529</vt:i4>
      </vt:variant>
      <vt:variant>
        <vt:i4>129</vt:i4>
      </vt:variant>
      <vt:variant>
        <vt:i4>0</vt:i4>
      </vt:variant>
      <vt:variant>
        <vt:i4>5</vt:i4>
      </vt:variant>
      <vt:variant>
        <vt:lpwstr>http://www.ipart.nsw.gov.au/Home/Industries/Water/Reviews/Rural_Water/Review_of_prices_for_the_Water_Administration_Ministerial_Corportation_commencing_1_July_2014</vt:lpwstr>
      </vt:variant>
      <vt:variant>
        <vt:lpwstr/>
      </vt:variant>
      <vt:variant>
        <vt:i4>5701637</vt:i4>
      </vt:variant>
      <vt:variant>
        <vt:i4>126</vt:i4>
      </vt:variant>
      <vt:variant>
        <vt:i4>0</vt:i4>
      </vt:variant>
      <vt:variant>
        <vt:i4>5</vt:i4>
      </vt:variant>
      <vt:variant>
        <vt:lpwstr>http://www.ipart.nsw.gov.au/Home/Industries/Water/Reviews/Compliance/Review_of_Energy_and_Water_Compliance_Policy</vt:lpwstr>
      </vt:variant>
      <vt:variant>
        <vt:lpwstr/>
      </vt:variant>
      <vt:variant>
        <vt:i4>6226017</vt:i4>
      </vt:variant>
      <vt:variant>
        <vt:i4>123</vt:i4>
      </vt:variant>
      <vt:variant>
        <vt:i4>0</vt:i4>
      </vt:variant>
      <vt:variant>
        <vt:i4>5</vt:i4>
      </vt:variant>
      <vt:variant>
        <vt:lpwstr>http://www.ipart.nsw.gov.au/Home/Industries/Gas/Reviews/Retail_Pricing/Review_of_regulated_gas_retail_prices_2013_to_2016/23_Apr_2013_-_Draft_Report_-_Review_of_regulated_retail_prices_and_charges_for_gas_2013_to_2016/Draft_Report_-_Review_of_regulated_ret</vt:lpwstr>
      </vt:variant>
      <vt:variant>
        <vt:lpwstr/>
      </vt:variant>
      <vt:variant>
        <vt:i4>6029437</vt:i4>
      </vt:variant>
      <vt:variant>
        <vt:i4>120</vt:i4>
      </vt:variant>
      <vt:variant>
        <vt:i4>0</vt:i4>
      </vt:variant>
      <vt:variant>
        <vt:i4>5</vt:i4>
      </vt:variant>
      <vt:variant>
        <vt:lpwstr>http://www.ipart.nsw.gov.au/Home/Industries/Electricity/Reviews/Retail_Pricing/Review_of_regulated_electricity_retail_prices_2013_to_2016/23_Apr_2013_-_Draft_Report_-_Review_of_regulated_retail_prices_for_electricity_2013_to_2016/Draft_Report_-_Review_of_r</vt:lpwstr>
      </vt:variant>
      <vt:variant>
        <vt:lpwstr/>
      </vt:variant>
      <vt:variant>
        <vt:i4>5832813</vt:i4>
      </vt:variant>
      <vt:variant>
        <vt:i4>117</vt:i4>
      </vt:variant>
      <vt:variant>
        <vt:i4>0</vt:i4>
      </vt:variant>
      <vt:variant>
        <vt:i4>5</vt:i4>
      </vt:variant>
      <vt:variant>
        <vt:lpwstr>http://www.ipart.nsw.gov.au/Home/Industries/Water/Reviews/Licensing_-_State_Water_Corporation/End_of_Term_Review_of_State_Water_Operating_Licence_2012-2013</vt:lpwstr>
      </vt:variant>
      <vt:variant>
        <vt:lpwstr/>
      </vt:variant>
      <vt:variant>
        <vt:i4>1114133</vt:i4>
      </vt:variant>
      <vt:variant>
        <vt:i4>114</vt:i4>
      </vt:variant>
      <vt:variant>
        <vt:i4>0</vt:i4>
      </vt:variant>
      <vt:variant>
        <vt:i4>5</vt:i4>
      </vt:variant>
      <vt:variant>
        <vt:lpwstr>http://www.icrc.act.gov.au/__data/assets/pdf_file/0004/262165/MediaRelease_20130226.pdf</vt:lpwstr>
      </vt:variant>
      <vt:variant>
        <vt:lpwstr/>
      </vt:variant>
      <vt:variant>
        <vt:i4>7995430</vt:i4>
      </vt:variant>
      <vt:variant>
        <vt:i4>111</vt:i4>
      </vt:variant>
      <vt:variant>
        <vt:i4>0</vt:i4>
      </vt:variant>
      <vt:variant>
        <vt:i4>5</vt:i4>
      </vt:variant>
      <vt:variant>
        <vt:lpwstr>http://www.icrc.act.gov.au/wp-content/uploads/2013/02/Media-Release-EPC-Information-Paper-22-April-2013.pdf</vt:lpwstr>
      </vt:variant>
      <vt:variant>
        <vt:lpwstr/>
      </vt:variant>
      <vt:variant>
        <vt:i4>5177359</vt:i4>
      </vt:variant>
      <vt:variant>
        <vt:i4>108</vt:i4>
      </vt:variant>
      <vt:variant>
        <vt:i4>0</vt:i4>
      </vt:variant>
      <vt:variant>
        <vt:i4>5</vt:i4>
      </vt:variant>
      <vt:variant>
        <vt:lpwstr>http://www.icrc.act.gov.au/water-and-sewerage/</vt:lpwstr>
      </vt:variant>
      <vt:variant>
        <vt:lpwstr>price-direction-supply-of-regulated-water-and-sewerage-services</vt:lpwstr>
      </vt:variant>
      <vt:variant>
        <vt:i4>3211322</vt:i4>
      </vt:variant>
      <vt:variant>
        <vt:i4>105</vt:i4>
      </vt:variant>
      <vt:variant>
        <vt:i4>0</vt:i4>
      </vt:variant>
      <vt:variant>
        <vt:i4>5</vt:i4>
      </vt:variant>
      <vt:variant>
        <vt:lpwstr>http://www.aemc.gov.au/electricity/rule-changes/open/changes-to-cost-allocation-method.html</vt:lpwstr>
      </vt:variant>
      <vt:variant>
        <vt:lpwstr/>
      </vt:variant>
      <vt:variant>
        <vt:i4>7602232</vt:i4>
      </vt:variant>
      <vt:variant>
        <vt:i4>102</vt:i4>
      </vt:variant>
      <vt:variant>
        <vt:i4>0</vt:i4>
      </vt:variant>
      <vt:variant>
        <vt:i4>5</vt:i4>
      </vt:variant>
      <vt:variant>
        <vt:lpwstr>http://www.aemc.gov.au/News/Whats-New/national-approach-to-recovers-costs-of-using-transmission-assets-across-regions.html</vt:lpwstr>
      </vt:variant>
      <vt:variant>
        <vt:lpwstr/>
      </vt:variant>
      <vt:variant>
        <vt:i4>1376256</vt:i4>
      </vt:variant>
      <vt:variant>
        <vt:i4>99</vt:i4>
      </vt:variant>
      <vt:variant>
        <vt:i4>0</vt:i4>
      </vt:variant>
      <vt:variant>
        <vt:i4>5</vt:i4>
      </vt:variant>
      <vt:variant>
        <vt:lpwstr>http://www.aemc.gov.au/Redirect.aspx?cid=b2aff0a6-4841-40d4-9445-f26b95647d97</vt:lpwstr>
      </vt:variant>
      <vt:variant>
        <vt:lpwstr/>
      </vt:variant>
      <vt:variant>
        <vt:i4>5505102</vt:i4>
      </vt:variant>
      <vt:variant>
        <vt:i4>96</vt:i4>
      </vt:variant>
      <vt:variant>
        <vt:i4>0</vt:i4>
      </vt:variant>
      <vt:variant>
        <vt:i4>5</vt:i4>
      </vt:variant>
      <vt:variant>
        <vt:lpwstr>http://www.aemc.gov.au/News/Whats-New/household-electricity-price-trends.html</vt:lpwstr>
      </vt:variant>
      <vt:variant>
        <vt:lpwstr/>
      </vt:variant>
      <vt:variant>
        <vt:i4>3014763</vt:i4>
      </vt:variant>
      <vt:variant>
        <vt:i4>93</vt:i4>
      </vt:variant>
      <vt:variant>
        <vt:i4>0</vt:i4>
      </vt:variant>
      <vt:variant>
        <vt:i4>5</vt:i4>
      </vt:variant>
      <vt:variant>
        <vt:lpwstr>http://www.aemc.gov.au/News/Whats-New/final-report-published-on-annual-market-performance-review-2012.html</vt:lpwstr>
      </vt:variant>
      <vt:variant>
        <vt:lpwstr/>
      </vt:variant>
      <vt:variant>
        <vt:i4>8192052</vt:i4>
      </vt:variant>
      <vt:variant>
        <vt:i4>90</vt:i4>
      </vt:variant>
      <vt:variant>
        <vt:i4>0</vt:i4>
      </vt:variant>
      <vt:variant>
        <vt:i4>5</vt:i4>
      </vt:variant>
      <vt:variant>
        <vt:lpwstr>http://www.aemc.gov.au/News/Whats-New/issues-paper-published-on-the-review-of-the-national-framework-for-transmission-reliability.html</vt:lpwstr>
      </vt:variant>
      <vt:variant>
        <vt:lpwstr/>
      </vt:variant>
      <vt:variant>
        <vt:i4>786520</vt:i4>
      </vt:variant>
      <vt:variant>
        <vt:i4>87</vt:i4>
      </vt:variant>
      <vt:variant>
        <vt:i4>0</vt:i4>
      </vt:variant>
      <vt:variant>
        <vt:i4>5</vt:i4>
      </vt:variant>
      <vt:variant>
        <vt:lpwstr>http://www.aemc.gov.au/News/Whats-New/the-aemc-publishes-the-final-report-of-the-transmission-frameworks-review.html</vt:lpwstr>
      </vt:variant>
      <vt:variant>
        <vt:lpwstr/>
      </vt:variant>
      <vt:variant>
        <vt:i4>8323195</vt:i4>
      </vt:variant>
      <vt:variant>
        <vt:i4>84</vt:i4>
      </vt:variant>
      <vt:variant>
        <vt:i4>0</vt:i4>
      </vt:variant>
      <vt:variant>
        <vt:i4>5</vt:i4>
      </vt:variant>
      <vt:variant>
        <vt:lpwstr>http://www.aemc.gov.au/News/Whats-New/aemc-strategic-priorities-discussion-paper-stakeholder-views-sought-on-proposed-priorities-.html</vt:lpwstr>
      </vt:variant>
      <vt:variant>
        <vt:lpwstr/>
      </vt:variant>
      <vt:variant>
        <vt:i4>4915267</vt:i4>
      </vt:variant>
      <vt:variant>
        <vt:i4>81</vt:i4>
      </vt:variant>
      <vt:variant>
        <vt:i4>0</vt:i4>
      </vt:variant>
      <vt:variant>
        <vt:i4>5</vt:i4>
      </vt:variant>
      <vt:variant>
        <vt:lpwstr>http://www.ncc.gov.au/index.php/application/application_for_coverage_of_the_south_eastern_pipeline_system</vt:lpwstr>
      </vt:variant>
      <vt:variant>
        <vt:lpwstr/>
      </vt:variant>
      <vt:variant>
        <vt:i4>8257623</vt:i4>
      </vt:variant>
      <vt:variant>
        <vt:i4>78</vt:i4>
      </vt:variant>
      <vt:variant>
        <vt:i4>0</vt:i4>
      </vt:variant>
      <vt:variant>
        <vt:i4>5</vt:i4>
      </vt:variant>
      <vt:variant>
        <vt:lpwstr>http://www.ncc.gov.au/index.php/application/application_for_a_15-year_no-coverage_determination_for_proposed_glng_pipel</vt:lpwstr>
      </vt:variant>
      <vt:variant>
        <vt:lpwstr/>
      </vt:variant>
      <vt:variant>
        <vt:i4>5505031</vt:i4>
      </vt:variant>
      <vt:variant>
        <vt:i4>75</vt:i4>
      </vt:variant>
      <vt:variant>
        <vt:i4>0</vt:i4>
      </vt:variant>
      <vt:variant>
        <vt:i4>5</vt:i4>
      </vt:variant>
      <vt:variant>
        <vt:lpwstr>http://www.aer.gov.au/node/19048</vt:lpwstr>
      </vt:variant>
      <vt:variant>
        <vt:lpwstr/>
      </vt:variant>
      <vt:variant>
        <vt:i4>5898240</vt:i4>
      </vt:variant>
      <vt:variant>
        <vt:i4>72</vt:i4>
      </vt:variant>
      <vt:variant>
        <vt:i4>0</vt:i4>
      </vt:variant>
      <vt:variant>
        <vt:i4>5</vt:i4>
      </vt:variant>
      <vt:variant>
        <vt:lpwstr>http://www.aer.gov.au/node/19234</vt:lpwstr>
      </vt:variant>
      <vt:variant>
        <vt:lpwstr/>
      </vt:variant>
      <vt:variant>
        <vt:i4>5767174</vt:i4>
      </vt:variant>
      <vt:variant>
        <vt:i4>69</vt:i4>
      </vt:variant>
      <vt:variant>
        <vt:i4>0</vt:i4>
      </vt:variant>
      <vt:variant>
        <vt:i4>5</vt:i4>
      </vt:variant>
      <vt:variant>
        <vt:lpwstr>http://www.aer.gov.au/node/19357</vt:lpwstr>
      </vt:variant>
      <vt:variant>
        <vt:lpwstr/>
      </vt:variant>
      <vt:variant>
        <vt:i4>5308420</vt:i4>
      </vt:variant>
      <vt:variant>
        <vt:i4>66</vt:i4>
      </vt:variant>
      <vt:variant>
        <vt:i4>0</vt:i4>
      </vt:variant>
      <vt:variant>
        <vt:i4>5</vt:i4>
      </vt:variant>
      <vt:variant>
        <vt:lpwstr>http://www.aer.gov.au/node/19578</vt:lpwstr>
      </vt:variant>
      <vt:variant>
        <vt:lpwstr/>
      </vt:variant>
      <vt:variant>
        <vt:i4>6160387</vt:i4>
      </vt:variant>
      <vt:variant>
        <vt:i4>63</vt:i4>
      </vt:variant>
      <vt:variant>
        <vt:i4>0</vt:i4>
      </vt:variant>
      <vt:variant>
        <vt:i4>5</vt:i4>
      </vt:variant>
      <vt:variant>
        <vt:lpwstr>http://www.aer.gov.au/node/19604</vt:lpwstr>
      </vt:variant>
      <vt:variant>
        <vt:lpwstr/>
      </vt:variant>
      <vt:variant>
        <vt:i4>6094852</vt:i4>
      </vt:variant>
      <vt:variant>
        <vt:i4>60</vt:i4>
      </vt:variant>
      <vt:variant>
        <vt:i4>0</vt:i4>
      </vt:variant>
      <vt:variant>
        <vt:i4>5</vt:i4>
      </vt:variant>
      <vt:variant>
        <vt:lpwstr>http://www.aer.gov.au/node/19677</vt:lpwstr>
      </vt:variant>
      <vt:variant>
        <vt:lpwstr/>
      </vt:variant>
      <vt:variant>
        <vt:i4>6029322</vt:i4>
      </vt:variant>
      <vt:variant>
        <vt:i4>57</vt:i4>
      </vt:variant>
      <vt:variant>
        <vt:i4>0</vt:i4>
      </vt:variant>
      <vt:variant>
        <vt:i4>5</vt:i4>
      </vt:variant>
      <vt:variant>
        <vt:lpwstr>http://www.aer.gov.au/node/20003</vt:lpwstr>
      </vt:variant>
      <vt:variant>
        <vt:lpwstr/>
      </vt:variant>
      <vt:variant>
        <vt:i4>6225931</vt:i4>
      </vt:variant>
      <vt:variant>
        <vt:i4>54</vt:i4>
      </vt:variant>
      <vt:variant>
        <vt:i4>0</vt:i4>
      </vt:variant>
      <vt:variant>
        <vt:i4>5</vt:i4>
      </vt:variant>
      <vt:variant>
        <vt:lpwstr>http://www.aer.gov.au/node/20010</vt:lpwstr>
      </vt:variant>
      <vt:variant>
        <vt:lpwstr/>
      </vt:variant>
      <vt:variant>
        <vt:i4>6094856</vt:i4>
      </vt:variant>
      <vt:variant>
        <vt:i4>51</vt:i4>
      </vt:variant>
      <vt:variant>
        <vt:i4>0</vt:i4>
      </vt:variant>
      <vt:variant>
        <vt:i4>5</vt:i4>
      </vt:variant>
      <vt:variant>
        <vt:lpwstr>http://www.aer.gov.au/node/20022</vt:lpwstr>
      </vt:variant>
      <vt:variant>
        <vt:lpwstr/>
      </vt:variant>
      <vt:variant>
        <vt:i4>5701643</vt:i4>
      </vt:variant>
      <vt:variant>
        <vt:i4>48</vt:i4>
      </vt:variant>
      <vt:variant>
        <vt:i4>0</vt:i4>
      </vt:variant>
      <vt:variant>
        <vt:i4>5</vt:i4>
      </vt:variant>
      <vt:variant>
        <vt:lpwstr>http://www.aer.gov.au/node/20018</vt:lpwstr>
      </vt:variant>
      <vt:variant>
        <vt:lpwstr/>
      </vt:variant>
      <vt:variant>
        <vt:i4>6160395</vt:i4>
      </vt:variant>
      <vt:variant>
        <vt:i4>45</vt:i4>
      </vt:variant>
      <vt:variant>
        <vt:i4>0</vt:i4>
      </vt:variant>
      <vt:variant>
        <vt:i4>5</vt:i4>
      </vt:variant>
      <vt:variant>
        <vt:lpwstr>http://www.aer.gov.au/node/20011</vt:lpwstr>
      </vt:variant>
      <vt:variant>
        <vt:lpwstr/>
      </vt:variant>
      <vt:variant>
        <vt:i4>5636107</vt:i4>
      </vt:variant>
      <vt:variant>
        <vt:i4>42</vt:i4>
      </vt:variant>
      <vt:variant>
        <vt:i4>0</vt:i4>
      </vt:variant>
      <vt:variant>
        <vt:i4>5</vt:i4>
      </vt:variant>
      <vt:variant>
        <vt:lpwstr>http://www.aer.gov.au/node/19983</vt:lpwstr>
      </vt:variant>
      <vt:variant>
        <vt:lpwstr/>
      </vt:variant>
      <vt:variant>
        <vt:i4>5963788</vt:i4>
      </vt:variant>
      <vt:variant>
        <vt:i4>39</vt:i4>
      </vt:variant>
      <vt:variant>
        <vt:i4>0</vt:i4>
      </vt:variant>
      <vt:variant>
        <vt:i4>5</vt:i4>
      </vt:variant>
      <vt:variant>
        <vt:lpwstr>http://www.aer.gov.au/node/20064</vt:lpwstr>
      </vt:variant>
      <vt:variant>
        <vt:lpwstr/>
      </vt:variant>
      <vt:variant>
        <vt:i4>2556028</vt:i4>
      </vt:variant>
      <vt:variant>
        <vt:i4>36</vt:i4>
      </vt:variant>
      <vt:variant>
        <vt:i4>0</vt:i4>
      </vt:variant>
      <vt:variant>
        <vt:i4>5</vt:i4>
      </vt:variant>
      <vt:variant>
        <vt:lpwstr>http://www.accc.gov.au/media-release/accc-directs-telstra-to-amend-measures-developed-under-the-migration-plan</vt:lpwstr>
      </vt:variant>
      <vt:variant>
        <vt:lpwstr/>
      </vt:variant>
      <vt:variant>
        <vt:i4>5701716</vt:i4>
      </vt:variant>
      <vt:variant>
        <vt:i4>33</vt:i4>
      </vt:variant>
      <vt:variant>
        <vt:i4>0</vt:i4>
      </vt:variant>
      <vt:variant>
        <vt:i4>5</vt:i4>
      </vt:variant>
      <vt:variant>
        <vt:lpwstr>http://www.accc.gov.au/media-release/accc-invites-comment-on-the-policies-and-procedures-for-the-list-of-nbn-pois</vt:lpwstr>
      </vt:variant>
      <vt:variant>
        <vt:lpwstr/>
      </vt:variant>
      <vt:variant>
        <vt:i4>1966156</vt:i4>
      </vt:variant>
      <vt:variant>
        <vt:i4>30</vt:i4>
      </vt:variant>
      <vt:variant>
        <vt:i4>0</vt:i4>
      </vt:variant>
      <vt:variant>
        <vt:i4>5</vt:i4>
      </vt:variant>
      <vt:variant>
        <vt:lpwstr>http://www.accc.gov.au/media-release/accc-telecommunications-reports-prices-fall-interest-in-broadband-grows</vt:lpwstr>
      </vt:variant>
      <vt:variant>
        <vt:lpwstr/>
      </vt:variant>
      <vt:variant>
        <vt:i4>3735653</vt:i4>
      </vt:variant>
      <vt:variant>
        <vt:i4>27</vt:i4>
      </vt:variant>
      <vt:variant>
        <vt:i4>0</vt:i4>
      </vt:variant>
      <vt:variant>
        <vt:i4>5</vt:i4>
      </vt:variant>
      <vt:variant>
        <vt:lpwstr>http://www.accc.gov.au/media-release/accc-proposes-cost-based-prices-for-wholesale-broadband-services-on-telstra%E2%80%99s-copper-0</vt:lpwstr>
      </vt:variant>
      <vt:variant>
        <vt:lpwstr/>
      </vt:variant>
      <vt:variant>
        <vt:i4>524360</vt:i4>
      </vt:variant>
      <vt:variant>
        <vt:i4>24</vt:i4>
      </vt:variant>
      <vt:variant>
        <vt:i4>0</vt:i4>
      </vt:variant>
      <vt:variant>
        <vt:i4>5</vt:i4>
      </vt:variant>
      <vt:variant>
        <vt:lpwstr>http://www.accc.gov.au/media-release/accc-authorises-collective-bargaining-for-central-queensland-coal-producers</vt:lpwstr>
      </vt:variant>
      <vt:variant>
        <vt:lpwstr/>
      </vt:variant>
      <vt:variant>
        <vt:i4>65625</vt:i4>
      </vt:variant>
      <vt:variant>
        <vt:i4>21</vt:i4>
      </vt:variant>
      <vt:variant>
        <vt:i4>0</vt:i4>
      </vt:variant>
      <vt:variant>
        <vt:i4>5</vt:i4>
      </vt:variant>
      <vt:variant>
        <vt:lpwstr>http://www.accc.gov.au/media-release/accc-allows-transferability-of-graincorps-port-capacity</vt:lpwstr>
      </vt:variant>
      <vt:variant>
        <vt:lpwstr/>
      </vt:variant>
      <vt:variant>
        <vt:i4>5898309</vt:i4>
      </vt:variant>
      <vt:variant>
        <vt:i4>18</vt:i4>
      </vt:variant>
      <vt:variant>
        <vt:i4>0</vt:i4>
      </vt:variant>
      <vt:variant>
        <vt:i4>5</vt:i4>
      </vt:variant>
      <vt:variant>
        <vt:lpwstr>http://www.accc.gov.au/media-release/accc-issues-draft-decision-on-nbn-co-special-access-undertaking</vt:lpwstr>
      </vt:variant>
      <vt:variant>
        <vt:lpwstr/>
      </vt:variant>
      <vt:variant>
        <vt:i4>917521</vt:i4>
      </vt:variant>
      <vt:variant>
        <vt:i4>15</vt:i4>
      </vt:variant>
      <vt:variant>
        <vt:i4>0</vt:i4>
      </vt:variant>
      <vt:variant>
        <vt:i4>5</vt:i4>
      </vt:variant>
      <vt:variant>
        <vt:lpwstr>http://www.accc.gov.au/media-release/accc-issues-decision-on-southern-sydney-freight-line</vt:lpwstr>
      </vt:variant>
      <vt:variant>
        <vt:lpwstr/>
      </vt:variant>
      <vt:variant>
        <vt:i4>5832784</vt:i4>
      </vt:variant>
      <vt:variant>
        <vt:i4>12</vt:i4>
      </vt:variant>
      <vt:variant>
        <vt:i4>0</vt:i4>
      </vt:variant>
      <vt:variant>
        <vt:i4>5</vt:i4>
      </vt:variant>
      <vt:variant>
        <vt:lpwstr>http://www.accc.gov.au/media-release/competition-tribunal-affirms-accc-decision-to-open-wa-grain-supply-chain-to</vt:lpwstr>
      </vt:variant>
      <vt:variant>
        <vt:lpwstr/>
      </vt:variant>
      <vt:variant>
        <vt:i4>4915217</vt:i4>
      </vt:variant>
      <vt:variant>
        <vt:i4>9</vt:i4>
      </vt:variant>
      <vt:variant>
        <vt:i4>0</vt:i4>
      </vt:variant>
      <vt:variant>
        <vt:i4>5</vt:i4>
      </vt:variant>
      <vt:variant>
        <vt:lpwstr>http://www.accc.gov.au/media-release/accc-report-finds-no-cross-subsidy-in-australia-post</vt:lpwstr>
      </vt:variant>
      <vt:variant>
        <vt:lpwstr/>
      </vt:variant>
      <vt:variant>
        <vt:i4>4456479</vt:i4>
      </vt:variant>
      <vt:variant>
        <vt:i4>6</vt:i4>
      </vt:variant>
      <vt:variant>
        <vt:i4>0</vt:i4>
      </vt:variant>
      <vt:variant>
        <vt:i4>5</vt:i4>
      </vt:variant>
      <vt:variant>
        <vt:lpwstr>http://www.accc.gov.au/media-release/growth-in-passenger-numbers-continuing-to-drive-airport-profits-and-need-for-new</vt:lpwstr>
      </vt:variant>
      <vt:variant>
        <vt:lpwstr/>
      </vt:variant>
      <vt:variant>
        <vt:i4>5242886</vt:i4>
      </vt:variant>
      <vt:variant>
        <vt:i4>3</vt:i4>
      </vt:variant>
      <vt:variant>
        <vt:i4>0</vt:i4>
      </vt:variant>
      <vt:variant>
        <vt:i4>5</vt:i4>
      </vt:variant>
      <vt:variant>
        <vt:lpwstr>http://www.accc.gov.au/media-release/accc-begins-consultation-on-wheat-export-undertakings-0</vt:lpwstr>
      </vt:variant>
      <vt:variant>
        <vt:lpwstr/>
      </vt:variant>
      <vt:variant>
        <vt:i4>7340076</vt:i4>
      </vt:variant>
      <vt:variant>
        <vt:i4>0</vt:i4>
      </vt:variant>
      <vt:variant>
        <vt:i4>0</vt:i4>
      </vt:variant>
      <vt:variant>
        <vt:i4>5</vt:i4>
      </vt:variant>
      <vt:variant>
        <vt:lpwstr>http://www.accc.gov.au/speech/competition-policy-workshop-%E2%80%93-infrastructure-access</vt:lpwstr>
      </vt:variant>
      <vt:variant>
        <vt:lpwstr>endnote</vt:lpwstr>
      </vt:variant>
      <vt:variant>
        <vt:i4>6553674</vt:i4>
      </vt:variant>
      <vt:variant>
        <vt:i4>12</vt:i4>
      </vt:variant>
      <vt:variant>
        <vt:i4>0</vt:i4>
      </vt:variant>
      <vt:variant>
        <vt:i4>5</vt:i4>
      </vt:variant>
      <vt:variant>
        <vt:lpwstr>mailto:Genevieve.Pound@accc.gov.au</vt:lpwstr>
      </vt:variant>
      <vt:variant>
        <vt:lpwstr/>
      </vt:variant>
      <vt:variant>
        <vt:i4>1900596</vt:i4>
      </vt:variant>
      <vt:variant>
        <vt:i4>9</vt:i4>
      </vt:variant>
      <vt:variant>
        <vt:i4>0</vt:i4>
      </vt:variant>
      <vt:variant>
        <vt:i4>5</vt:i4>
      </vt:variant>
      <vt:variant>
        <vt:lpwstr>mailto:Robert.Albon@accc.gov.au</vt:lpwstr>
      </vt:variant>
      <vt:variant>
        <vt:lpwstr/>
      </vt:variant>
      <vt:variant>
        <vt:i4>6553674</vt:i4>
      </vt:variant>
      <vt:variant>
        <vt:i4>6</vt:i4>
      </vt:variant>
      <vt:variant>
        <vt:i4>0</vt:i4>
      </vt:variant>
      <vt:variant>
        <vt:i4>5</vt:i4>
      </vt:variant>
      <vt:variant>
        <vt:lpwstr>mailto:Genevieve.Pound@accc.gov.au</vt:lpwstr>
      </vt:variant>
      <vt:variant>
        <vt:lpwstr/>
      </vt:variant>
      <vt:variant>
        <vt:i4>1900596</vt:i4>
      </vt:variant>
      <vt:variant>
        <vt:i4>3</vt:i4>
      </vt:variant>
      <vt:variant>
        <vt:i4>0</vt:i4>
      </vt:variant>
      <vt:variant>
        <vt:i4>5</vt:i4>
      </vt:variant>
      <vt:variant>
        <vt:lpwstr>mailto:Robert.Albon@accc.gov.au</vt:lpwstr>
      </vt:variant>
      <vt:variant>
        <vt:lpwstr/>
      </vt:variant>
      <vt:variant>
        <vt:i4>2818108</vt:i4>
      </vt:variant>
      <vt:variant>
        <vt:i4>0</vt:i4>
      </vt:variant>
      <vt:variant>
        <vt:i4>0</vt:i4>
      </vt:variant>
      <vt:variant>
        <vt:i4>5</vt:i4>
      </vt:variant>
      <vt:variant>
        <vt:lpwstr>http://www.pc.gov.au/projects/inquiry/access-regime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32 April 2009</dc:title>
  <dc:creator>gpoun</dc:creator>
  <cp:lastModifiedBy>Polmear, Erin</cp:lastModifiedBy>
  <cp:revision>2</cp:revision>
  <cp:lastPrinted>2015-12-08T03:18:00Z</cp:lastPrinted>
  <dcterms:created xsi:type="dcterms:W3CDTF">2015-12-08T04:03:00Z</dcterms:created>
  <dcterms:modified xsi:type="dcterms:W3CDTF">2015-12-08T04:03:00Z</dcterms:modified>
</cp:coreProperties>
</file>