
<file path=[Content_Types].xml><?xml version="1.0" encoding="utf-8"?>
<Types xmlns="http://schemas.openxmlformats.org/package/2006/content-types">
  <Default Extension="bin" ContentType="application/vnd.ms-word.attachedToolbar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F7A" w:rsidRPr="006225C7" w:rsidRDefault="008E24CD" w:rsidP="007372C7">
      <w:pPr>
        <w:pStyle w:val="Heading4"/>
        <w:spacing w:after="240"/>
        <w:jc w:val="right"/>
      </w:pPr>
      <w:r w:rsidRPr="006225C7">
        <w:t xml:space="preserve">Issue </w:t>
      </w:r>
      <w:r w:rsidR="006225C7" w:rsidRPr="006225C7">
        <w:t>5</w:t>
      </w:r>
      <w:r w:rsidR="0033733D">
        <w:t>3</w:t>
      </w:r>
      <w:r w:rsidR="00C16B44" w:rsidRPr="006225C7">
        <w:t xml:space="preserve"> </w:t>
      </w:r>
      <w:r w:rsidR="0033733D">
        <w:t>Dec</w:t>
      </w:r>
      <w:r w:rsidR="00087F18">
        <w:t>ember</w:t>
      </w:r>
      <w:r w:rsidR="006225C7" w:rsidRPr="006225C7">
        <w:t xml:space="preserve"> 2014</w:t>
      </w:r>
    </w:p>
    <w:p w:rsidR="00FC1051" w:rsidRPr="00C35BCF" w:rsidRDefault="00C35BCF" w:rsidP="00FC1051">
      <w:pPr>
        <w:pStyle w:val="Heading1"/>
        <w:rPr>
          <w:szCs w:val="36"/>
        </w:rPr>
      </w:pPr>
      <w:r>
        <w:rPr>
          <w:szCs w:val="36"/>
        </w:rPr>
        <w:t>Assessing Proposals for Regulatory Write-downs</w:t>
      </w:r>
    </w:p>
    <w:p w:rsidR="00FC1051" w:rsidRPr="0033733D" w:rsidRDefault="00C35BCF" w:rsidP="00FC1051">
      <w:pPr>
        <w:pStyle w:val="Heading2"/>
        <w:spacing w:before="240" w:after="240" w:line="240" w:lineRule="auto"/>
        <w:rPr>
          <w:i/>
          <w:szCs w:val="28"/>
        </w:rPr>
      </w:pPr>
      <w:r>
        <w:rPr>
          <w:szCs w:val="28"/>
        </w:rPr>
        <w:t>Garth Crawford</w:t>
      </w:r>
      <w:r w:rsidR="00FC1051" w:rsidRPr="0033733D">
        <w:rPr>
          <w:i/>
          <w:szCs w:val="28"/>
        </w:rPr>
        <w:t>*</w:t>
      </w:r>
    </w:p>
    <w:p w:rsidR="00FC1051" w:rsidRPr="0033733D" w:rsidRDefault="00FC1051" w:rsidP="00FC1051">
      <w:pPr>
        <w:spacing w:line="240" w:lineRule="auto"/>
        <w:rPr>
          <w:rFonts w:cs="Arial"/>
          <w:i/>
          <w:color w:val="333399"/>
          <w:sz w:val="28"/>
          <w:szCs w:val="28"/>
          <w:lang w:val="en-GB"/>
        </w:rPr>
        <w:sectPr w:rsidR="00FC1051" w:rsidRPr="0033733D" w:rsidSect="00272513">
          <w:headerReference w:type="default" r:id="rId10"/>
          <w:footerReference w:type="even" r:id="rId11"/>
          <w:footerReference w:type="default" r:id="rId12"/>
          <w:headerReference w:type="first" r:id="rId13"/>
          <w:footerReference w:type="first" r:id="rId14"/>
          <w:endnotePr>
            <w:numFmt w:val="decimal"/>
          </w:endnotePr>
          <w:pgSz w:w="11906" w:h="16838" w:code="9"/>
          <w:pgMar w:top="3119" w:right="851" w:bottom="1134" w:left="851" w:header="567" w:footer="567" w:gutter="0"/>
          <w:pgNumType w:start="1"/>
          <w:cols w:space="708"/>
          <w:titlePg/>
          <w:docGrid w:linePitch="360"/>
        </w:sectPr>
      </w:pPr>
    </w:p>
    <w:p w:rsidR="00134F94" w:rsidRPr="00912421" w:rsidRDefault="00134F94" w:rsidP="00134F94">
      <w:pPr>
        <w:pStyle w:val="Heading1"/>
        <w:spacing w:before="0" w:after="120" w:line="240" w:lineRule="auto"/>
        <w:rPr>
          <w:rStyle w:val="Network-bodytext"/>
          <w:rFonts w:eastAsia="Calibri"/>
          <w:b w:val="0"/>
        </w:rPr>
      </w:pPr>
      <w:r w:rsidRPr="00912421">
        <w:rPr>
          <w:rStyle w:val="Network-bodytext"/>
          <w:rFonts w:eastAsia="Calibri"/>
          <w:b w:val="0"/>
        </w:rPr>
        <w:lastRenderedPageBreak/>
        <w:t xml:space="preserve">The regulatory asset base plays a central role in monopoly infrastructure regulation across Australia, and most developed economies.  It represents unrecovered past capital investments made by the existing and past infrastructure owners.  Provision of a rate of return on the value of these past investments usually represents the single largest component of access charges for many infrastructure services, under the commonly applied ‘building block’ approach to setting access prices.  The regulatory asset base exists to recognise that networks are required to fund long-lived capital intensive physical assets that will supply both existing and future consumers over their service life.  In the case of electricity networks, these physical asset lives typically span between 30 and 50 years.  The mechanism of the regulatory asset base allows these costs to be borne through time by beneficiaries of the services enabled by the assets, avoiding current consumers subsidising future consumers, or an unfair deferral of current costs on to future consumers. </w:t>
      </w:r>
    </w:p>
    <w:p w:rsidR="00134F94" w:rsidRPr="00912421" w:rsidRDefault="00134F94" w:rsidP="00134F94">
      <w:pPr>
        <w:pStyle w:val="Heading1"/>
        <w:spacing w:before="0" w:after="120" w:line="240" w:lineRule="auto"/>
        <w:rPr>
          <w:rStyle w:val="Network-bodytext"/>
          <w:rFonts w:eastAsia="Calibri"/>
          <w:b w:val="0"/>
        </w:rPr>
      </w:pPr>
      <w:r w:rsidRPr="00912421">
        <w:rPr>
          <w:rStyle w:val="Network-bodytext"/>
          <w:rFonts w:eastAsia="Calibri"/>
          <w:b w:val="0"/>
        </w:rPr>
        <w:t xml:space="preserve">Importantly, the regulatory asset base quite often also reflects large non-discretionary investments that have been made to meet regulatory obligations.  As a common example, because electricity is deemed to be an essential service, most jurisdictions place (and have for decades) an ‘obligation to connect’ on electricity distribution networks covering a broad range of customer types.  This places the network in the position of being required to make long-lived customer-specific investments in connection (in addition to any required shared system augmentation to enable that connection) to discharge statutory obligations. </w:t>
      </w:r>
    </w:p>
    <w:p w:rsidR="00134F94" w:rsidRPr="00912421" w:rsidRDefault="00134F94" w:rsidP="00134F94">
      <w:pPr>
        <w:pStyle w:val="Heading1"/>
        <w:spacing w:before="0" w:after="120" w:line="240" w:lineRule="auto"/>
        <w:rPr>
          <w:rStyle w:val="Network-bodytext"/>
          <w:rFonts w:eastAsia="Calibri"/>
          <w:b w:val="0"/>
        </w:rPr>
      </w:pPr>
      <w:r w:rsidRPr="00912421">
        <w:rPr>
          <w:rStyle w:val="Network-bodytext"/>
          <w:rFonts w:eastAsia="Calibri"/>
          <w:b w:val="0"/>
        </w:rPr>
        <w:t xml:space="preserve">Furthermore, many jurisdictions place statutory restrictions on how and from whom networks recover these and other capital investments.  This means that network businesses are effectively barred from allocating the price or adjusting terms and conditions for access, taking into account the risk of future stranding.  Rather, state and territory arrangements, combined with the existing regulatory rules framework (providing for returns over the life of the asset, irrespective of the risk of future stranding), </w:t>
      </w:r>
      <w:r w:rsidRPr="00912421">
        <w:rPr>
          <w:rStyle w:val="Network-bodytext"/>
          <w:rFonts w:eastAsia="Calibri"/>
          <w:b w:val="0"/>
        </w:rPr>
        <w:lastRenderedPageBreak/>
        <w:t>effectively dictate how, when and from whom many electricity networks recover networks investments.</w:t>
      </w:r>
    </w:p>
    <w:p w:rsidR="00134F94" w:rsidRPr="00912421" w:rsidRDefault="00134F94" w:rsidP="00134F94">
      <w:pPr>
        <w:pStyle w:val="Heading1"/>
        <w:spacing w:before="0" w:after="120" w:line="240" w:lineRule="auto"/>
        <w:rPr>
          <w:rStyle w:val="Network-bodytext"/>
          <w:rFonts w:eastAsia="Calibri"/>
          <w:b w:val="0"/>
        </w:rPr>
      </w:pPr>
      <w:r w:rsidRPr="00912421">
        <w:rPr>
          <w:rStyle w:val="Network-bodytext"/>
          <w:rFonts w:eastAsia="Calibri"/>
          <w:b w:val="0"/>
        </w:rPr>
        <w:t xml:space="preserve">The treatment of the regulatory asset base represents a critical part of the overall regulatory compact.  This is because assets that form the regulatory base, unless they are protected by either credible or binding long-term regulatory rules or commitments from a regulatory body, are subject to the risk of regulatory ‘asset stranding’ or ‘regulatory taking’ (Greenwald 1984).  The degree of this risk will affect the cost of financing the regulated firms new and existing investments, since the regulatory treatment of past capital investment is the best objective information available to investors on how current investments are likely to be treated over their lives. </w:t>
      </w:r>
    </w:p>
    <w:p w:rsidR="00F97959" w:rsidRPr="0033733D" w:rsidRDefault="00134F94" w:rsidP="00134F94">
      <w:pPr>
        <w:spacing w:before="0" w:line="240" w:lineRule="auto"/>
        <w:rPr>
          <w:rStyle w:val="Network-bodytext"/>
          <w:rFonts w:eastAsia="Calibri"/>
          <w:i/>
        </w:rPr>
      </w:pPr>
      <w:r w:rsidRPr="00912421">
        <w:rPr>
          <w:rStyle w:val="Network-bodytext"/>
          <w:rFonts w:eastAsia="Calibri"/>
        </w:rPr>
        <w:t>Australian practice in both the energy and wider infrastructure sectors has consistently, and as a matter of deliberate policy and regulatory choice, moved away from allowing an opportunity for periodic or ad hoc revaluations, because of recognition of the significant disadvantages these entail.  These disadvantages include: the potential to increase regulatory risk; distortion of patterns of investment; introduction of additional costs, dispute, and complexity into the regulatory process; and the non-recovery of investments that were prudently made on the basis of the best-available information.</w:t>
      </w:r>
    </w:p>
    <w:p w:rsidR="00327BAA" w:rsidRPr="001127F7" w:rsidRDefault="00233FD8" w:rsidP="00275516">
      <w:pPr>
        <w:spacing w:before="0"/>
        <w:rPr>
          <w:rFonts w:eastAsia="Calibri" w:cs="Arial"/>
          <w:lang w:eastAsia="en-US"/>
        </w:rPr>
      </w:pPr>
      <w:r>
        <w:rPr>
          <w:rFonts w:ascii="Book Antiqua" w:hAnsi="Book Antiqua" w:cs="Arial"/>
          <w:i/>
          <w:noProof/>
          <w:sz w:val="21"/>
          <w:szCs w:val="21"/>
        </w:rPr>
        <w:pict>
          <v:shapetype id="_x0000_t202" coordsize="21600,21600" o:spt="202" path="m,l,21600r21600,l21600,xe">
            <v:stroke joinstyle="miter"/>
            <v:path gradientshapeok="t" o:connecttype="rect"/>
          </v:shapetype>
          <v:shape id="Text Box 2" o:spid="_x0000_s1471" type="#_x0000_t202" style="position:absolute;left:0;text-align:left;margin-left:1.15pt;margin-top:16.95pt;width:232.9pt;height:127.95pt;z-index:251658240;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">
            <v:textbox style="mso-next-textbox:#Text Box 2">
              <w:txbxContent>
                <w:p w:rsidR="00154D54" w:rsidRPr="00087AB5" w:rsidRDefault="00154D54" w:rsidP="00275516">
                  <w:pPr>
                    <w:pStyle w:val="NormalWeb"/>
                    <w:spacing w:before="0" w:beforeAutospacing="0" w:after="120" w:afterAutospacing="0"/>
                    <w:rPr>
                      <w:rFonts w:ascii="Arial" w:hAnsi="Arial" w:cs="Arial"/>
                      <w:b/>
                      <w:color w:val="333333"/>
                      <w:sz w:val="22"/>
                      <w:szCs w:val="22"/>
                    </w:rPr>
                  </w:pPr>
                  <w:r w:rsidRPr="00087AB5">
                    <w:rPr>
                      <w:rFonts w:ascii="Arial" w:hAnsi="Arial" w:cs="Arial"/>
                      <w:b/>
                      <w:color w:val="333333"/>
                      <w:sz w:val="22"/>
                      <w:szCs w:val="22"/>
                    </w:rPr>
                    <w:t>Contents</w:t>
                  </w:r>
                </w:p>
                <w:p w:rsidR="00154D54" w:rsidRPr="00087AB5" w:rsidRDefault="00154D54" w:rsidP="00275516">
                  <w:pPr>
                    <w:pStyle w:val="ContentsList"/>
                    <w:spacing w:before="0" w:line="240" w:lineRule="auto"/>
                    <w:rPr>
                      <w:rFonts w:ascii="Arial" w:hAnsi="Arial" w:cs="Arial"/>
                    </w:rPr>
                  </w:pPr>
                  <w:r w:rsidRPr="00087AB5">
                    <w:rPr>
                      <w:rFonts w:ascii="Arial" w:hAnsi="Arial" w:cs="Arial"/>
                    </w:rPr>
                    <w:t>Lead Article</w:t>
                  </w:r>
                  <w:r w:rsidRPr="00087AB5">
                    <w:rPr>
                      <w:rFonts w:ascii="Arial" w:hAnsi="Arial" w:cs="Arial"/>
                    </w:rPr>
                    <w:tab/>
                    <w:t>1</w:t>
                  </w:r>
                </w:p>
                <w:p w:rsidR="00154D54" w:rsidRPr="00087AB5" w:rsidRDefault="00154D54" w:rsidP="00275516">
                  <w:pPr>
                    <w:pStyle w:val="ContentsList"/>
                    <w:spacing w:before="0" w:line="240" w:lineRule="auto"/>
                    <w:rPr>
                      <w:rFonts w:ascii="Arial" w:hAnsi="Arial" w:cs="Arial"/>
                    </w:rPr>
                  </w:pPr>
                  <w:r w:rsidRPr="00087AB5">
                    <w:rPr>
                      <w:rFonts w:ascii="Arial" w:hAnsi="Arial" w:cs="Arial"/>
                    </w:rPr>
                    <w:t>From the Journals</w:t>
                  </w:r>
                  <w:r w:rsidRPr="00087AB5">
                    <w:rPr>
                      <w:rFonts w:ascii="Arial" w:hAnsi="Arial" w:cs="Arial"/>
                    </w:rPr>
                    <w:tab/>
                  </w:r>
                  <w:r w:rsidR="00684838">
                    <w:rPr>
                      <w:rFonts w:ascii="Arial" w:hAnsi="Arial" w:cs="Arial"/>
                    </w:rPr>
                    <w:t>6</w:t>
                  </w:r>
                </w:p>
                <w:p w:rsidR="00154D54" w:rsidRPr="00087AB5" w:rsidRDefault="00154D54" w:rsidP="00275516">
                  <w:pPr>
                    <w:pStyle w:val="ContentsList"/>
                    <w:spacing w:before="0" w:line="240" w:lineRule="auto"/>
                    <w:rPr>
                      <w:rFonts w:ascii="Arial" w:hAnsi="Arial" w:cs="Arial"/>
                    </w:rPr>
                  </w:pPr>
                  <w:r w:rsidRPr="00087AB5">
                    <w:rPr>
                      <w:rFonts w:ascii="Arial" w:hAnsi="Arial" w:cs="Arial"/>
                    </w:rPr>
                    <w:t xml:space="preserve">Regulatory Decisions </w:t>
                  </w:r>
                  <w:r w:rsidR="008E5AC8">
                    <w:rPr>
                      <w:rFonts w:ascii="Arial" w:hAnsi="Arial" w:cs="Arial"/>
                    </w:rPr>
                    <w:t>in Australia</w:t>
                  </w:r>
                  <w:r w:rsidR="008E5AC8">
                    <w:rPr>
                      <w:rFonts w:ascii="Arial" w:hAnsi="Arial" w:cs="Arial"/>
                    </w:rPr>
                    <w:tab/>
                  </w:r>
                  <w:r w:rsidR="008E5AC8">
                    <w:rPr>
                      <w:rFonts w:ascii="Arial" w:hAnsi="Arial" w:cs="Arial"/>
                    </w:rPr>
                    <w:br/>
                    <w:t>and New Zealand</w:t>
                  </w:r>
                  <w:r w:rsidR="008E5AC8">
                    <w:rPr>
                      <w:rFonts w:ascii="Arial" w:hAnsi="Arial" w:cs="Arial"/>
                    </w:rPr>
                    <w:tab/>
                  </w:r>
                  <w:r w:rsidR="00684838">
                    <w:rPr>
                      <w:rFonts w:ascii="Arial" w:hAnsi="Arial" w:cs="Arial"/>
                    </w:rPr>
                    <w:t>11</w:t>
                  </w:r>
                </w:p>
                <w:p w:rsidR="00154D54" w:rsidRPr="00087AB5" w:rsidRDefault="00154D54" w:rsidP="00275516">
                  <w:pPr>
                    <w:pStyle w:val="ContentsList"/>
                    <w:spacing w:before="0" w:line="240" w:lineRule="auto"/>
                    <w:rPr>
                      <w:rFonts w:ascii="Arial" w:hAnsi="Arial" w:cs="Arial"/>
                    </w:rPr>
                  </w:pPr>
                  <w:r w:rsidRPr="00087AB5">
                    <w:rPr>
                      <w:rFonts w:ascii="Arial" w:hAnsi="Arial" w:cs="Arial"/>
                    </w:rPr>
                    <w:t>Notes on Interesting Decisions</w:t>
                  </w:r>
                  <w:r w:rsidRPr="00087AB5">
                    <w:rPr>
                      <w:rFonts w:ascii="Arial" w:hAnsi="Arial" w:cs="Arial"/>
                    </w:rPr>
                    <w:tab/>
                  </w:r>
                  <w:r w:rsidR="00684838">
                    <w:rPr>
                      <w:rFonts w:ascii="Arial" w:hAnsi="Arial" w:cs="Arial"/>
                    </w:rPr>
                    <w:t>15</w:t>
                  </w:r>
                </w:p>
                <w:p w:rsidR="00154D54" w:rsidRPr="00E75614" w:rsidRDefault="00154D54" w:rsidP="00E75614">
                  <w:pPr>
                    <w:pStyle w:val="ContentsList"/>
                    <w:spacing w:before="0" w:line="240" w:lineRule="auto"/>
                    <w:rPr>
                      <w:rFonts w:ascii="Arial" w:hAnsi="Arial" w:cs="Arial"/>
                    </w:rPr>
                  </w:pPr>
                  <w:r w:rsidRPr="00087AB5">
                    <w:rPr>
                      <w:rFonts w:ascii="Arial" w:hAnsi="Arial" w:cs="Arial"/>
                    </w:rPr>
                    <w:t xml:space="preserve">Regulatory </w:t>
                  </w:r>
                  <w:r w:rsidR="00AE073E">
                    <w:rPr>
                      <w:rFonts w:ascii="Arial" w:hAnsi="Arial" w:cs="Arial"/>
                    </w:rPr>
                    <w:t>News</w:t>
                  </w:r>
                  <w:r w:rsidR="00AE073E">
                    <w:rPr>
                      <w:rFonts w:ascii="Arial" w:hAnsi="Arial" w:cs="Arial"/>
                    </w:rPr>
                    <w:tab/>
                  </w:r>
                  <w:r w:rsidR="00280607">
                    <w:rPr>
                      <w:rFonts w:ascii="Arial" w:hAnsi="Arial" w:cs="Arial"/>
                    </w:rPr>
                    <w:t>18</w:t>
                  </w:r>
                </w:p>
              </w:txbxContent>
            </v:textbox>
          </v:shape>
        </w:pict>
      </w:r>
    </w:p>
    <w:p w:rsidR="00327BAA" w:rsidRPr="0033733D" w:rsidRDefault="00327BAA" w:rsidP="00275516">
      <w:pPr>
        <w:spacing w:before="0"/>
        <w:rPr>
          <w:rFonts w:eastAsia="Calibri" w:cs="Arial"/>
          <w:i/>
          <w:lang w:eastAsia="en-US"/>
        </w:rPr>
      </w:pPr>
    </w:p>
    <w:p w:rsidR="00327BAA" w:rsidRDefault="00327BAA" w:rsidP="00275516">
      <w:pPr>
        <w:spacing w:before="0"/>
        <w:rPr>
          <w:rFonts w:eastAsia="Calibri" w:cs="Arial"/>
          <w:i/>
          <w:lang w:eastAsia="en-US"/>
        </w:rPr>
      </w:pP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lastRenderedPageBreak/>
        <w:t xml:space="preserve">What is sometimes called the ‘time inconsistency’ problem, or, less gently, the potential for regulatory ‘hold-up’ captures the potential for regulators or regulatory regimes to promote investment in sunk, single-use, long-lived investments, and then effectively to expropriate this same investment once it has occurred.  Independent regulation, expanding to independent rule-making and review mechanisms are fundamentally attempts to make credible long-term signals that policy-makers or regulators will not engage in this behaviour.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Regulatory policymakers commonly encounter pressure to revisit the regulatory compact as circumstances and competitive conditions change in markets over time.  Revisiting of the regulatory asset base of firms is extremely uncommon, however.  An ENA Research Paper </w:t>
      </w:r>
      <w:r w:rsidRPr="001F1CB7">
        <w:rPr>
          <w:rStyle w:val="Network-bodytext"/>
          <w:rFonts w:eastAsia="Calibri"/>
          <w:b w:val="0"/>
          <w:i/>
        </w:rPr>
        <w:t>Written Down Value?</w:t>
      </w:r>
      <w:r w:rsidR="001F1CB7">
        <w:rPr>
          <w:rStyle w:val="Network-bodytext"/>
          <w:rFonts w:eastAsia="Calibri"/>
          <w:b w:val="0"/>
        </w:rPr>
        <w:t>,</w:t>
      </w:r>
      <w:r w:rsidRPr="00912421">
        <w:rPr>
          <w:rStyle w:val="Network-bodytext"/>
          <w:rFonts w:eastAsia="Calibri"/>
          <w:b w:val="0"/>
        </w:rPr>
        <w:t xml:space="preserve"> released in August 2014</w:t>
      </w:r>
      <w:r w:rsidR="001F1CB7">
        <w:rPr>
          <w:rStyle w:val="Network-bodytext"/>
          <w:rFonts w:eastAsia="Calibri"/>
          <w:b w:val="0"/>
        </w:rPr>
        <w:t>,</w:t>
      </w:r>
      <w:r w:rsidRPr="00912421">
        <w:rPr>
          <w:rStyle w:val="Network-bodytext"/>
          <w:rFonts w:eastAsia="Calibri"/>
          <w:b w:val="0"/>
        </w:rPr>
        <w:t xml:space="preserve"> examined some of the potential direct consequences of writing down regulatory asset bases in regulated networks. </w:t>
      </w:r>
    </w:p>
    <w:p w:rsidR="001127F7" w:rsidRDefault="001127F7" w:rsidP="001127F7">
      <w:pPr>
        <w:spacing w:before="0"/>
        <w:rPr>
          <w:rStyle w:val="Network-bodytext"/>
          <w:rFonts w:eastAsia="Calibri"/>
        </w:rPr>
      </w:pPr>
      <w:r w:rsidRPr="00912421">
        <w:rPr>
          <w:rStyle w:val="Network-bodytext"/>
          <w:rFonts w:eastAsia="Calibri"/>
        </w:rPr>
        <w:t>This article builds and expands on aspects of this paper to sketch out a taxonomy of potential impacts and considerations around the issue of regulatory write-downs, defining the role of the regulatory asset base, and discussing its evolution as a regulatory concept through time.  By briefly reviewing its features, the potential impacts of write-downs can be better understood, and some provisional thoughts given on more fruitful alternative directions.</w:t>
      </w:r>
    </w:p>
    <w:p w:rsidR="001127F7" w:rsidRPr="001F1CB7" w:rsidRDefault="001127F7" w:rsidP="001127F7">
      <w:pPr>
        <w:pStyle w:val="Heading1"/>
        <w:spacing w:before="0" w:after="120" w:line="240" w:lineRule="auto"/>
        <w:rPr>
          <w:rStyle w:val="Network-bodytext"/>
          <w:rFonts w:eastAsia="Calibri"/>
        </w:rPr>
      </w:pPr>
      <w:r w:rsidRPr="001F1CB7">
        <w:rPr>
          <w:rStyle w:val="Network-bodytext"/>
          <w:rFonts w:eastAsia="Calibri"/>
        </w:rPr>
        <w:t>Is there an incomplete regulatory compact?</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One theoretic perspective which might seem initially attractive to apply is that of an incomplete regulatory contract.  No regulatory contract can ever be (efficiently) fully specified, and so, it might be argued, perhaps regulatory asset write-downs could be viewed as a clause of the regulatory contact that policy makers and regulators simply neglected to fill out.  That is, that the regulatory bargain always has an implicit clause that ‘if things change, things may change’.  In the case of long-lived capital intensive networks, however, this thesis faces a few problems.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First, with the latest version </w:t>
      </w:r>
      <w:r w:rsidRPr="001F1CB7">
        <w:rPr>
          <w:rStyle w:val="Network-bodytext"/>
          <w:rFonts w:eastAsia="Calibri"/>
          <w:b w:val="0"/>
          <w:i/>
        </w:rPr>
        <w:t>National Electricity Rules</w:t>
      </w:r>
      <w:r w:rsidRPr="00912421">
        <w:rPr>
          <w:rStyle w:val="Network-bodytext"/>
          <w:rFonts w:eastAsia="Calibri"/>
          <w:b w:val="0"/>
        </w:rPr>
        <w:t xml:space="preserve"> stretching to 1469 pages, incompleteness is amongst the least of its vices. In fact, Rules around the updating and stability of the regulatory asset base are amongst the most specific and detailed, with specific nominated values arising from past decisions ‘locked in’ to a schedule of the Rules.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Second, implementation of these Rules by regulators and the underlying regulatory bargain have also been publicly and transparently laid out in a series of regulatory decisions.  A series of AER decisions have quite clearly set out its views on both how the risks of changing demand levels should be shared over future current regulatory periods.  Therefore, doubt-plagued Rawlsian puzzling about what regulatory </w:t>
      </w:r>
      <w:r w:rsidRPr="00912421">
        <w:rPr>
          <w:rStyle w:val="Network-bodytext"/>
          <w:rFonts w:eastAsia="Calibri"/>
          <w:b w:val="0"/>
        </w:rPr>
        <w:lastRenderedPageBreak/>
        <w:t>bargain ‘might have been struck’ in the face of changing demands is not required.  Indeed, as a construct applied to the actual circumstances applying to energy networks, such puzzling is highly artificial.  Rather, the bargain is detailed, detailed indeed at what many would say was inordinate length.</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A final problem is that even if the thought experiment is followed – it leads in different directions from write-downs.  In cases where new long-lived, sunk capital investments are entered into in competitive markets in the face of uncertain demand conditions, the result is not pricing based on volumetric usage charges and low fixed charges.  Rather, the revealed preference from users and providers is that ‘take or pay’ contracts predominate.  These commonly underwrite significant gas pipeline infrastructure, for example.  In the case of toll roads, for example, volume and demand risk are increasingly underwritten by taxpayers.</w:t>
      </w:r>
    </w:p>
    <w:p w:rsidR="001127F7" w:rsidRPr="001F1CB7" w:rsidRDefault="001127F7" w:rsidP="001127F7">
      <w:pPr>
        <w:pStyle w:val="Heading1"/>
        <w:spacing w:before="0" w:after="120" w:line="240" w:lineRule="auto"/>
        <w:rPr>
          <w:rStyle w:val="Network-bodytext"/>
          <w:rFonts w:eastAsia="Calibri"/>
        </w:rPr>
      </w:pPr>
      <w:r w:rsidRPr="001F1CB7">
        <w:rPr>
          <w:rStyle w:val="Network-bodytext"/>
          <w:rFonts w:eastAsia="Calibri"/>
        </w:rPr>
        <w:t>Literature on Regulatory Stranding</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Due to the rarity of regulatory stranding actions, there is a substantially smaller regulatory economic literature around the issue than perennial regulatory issues such as pricing or alternative approaches to access pricing.  An exception to this is examination of the issue of regulatory stranding associated with the construction by US utilities of nuclear power stations in the wake of the Three Mile Island disaster.  These events triggered a substantial regulatory review of approved and partially constructed power plants, raising the issue of the allocation of the risks and costs of changed regulatory policy.</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As Professor Ingo Vogelsang recently pointed out, a basic choice exists – compensation of the owners before the stranding event, or compensation afterwards (Vogelsang 2014).  Delivery of that compensation prior to any stranding also involves choices.  Some options include the deliberate allowance of an additional allowance in the regulatory cost of capital, or equivalent adjustments to cash-flows (in a sense an ‘insurance premium’).  Regulators in energy and telecommunications have previously indicated that advancing depreciation could be one mechanism adopted, should regulators believe there was a higher uncertainty over recovery of costs</w:t>
      </w:r>
      <w:r w:rsidR="001F1CB7" w:rsidRPr="001F1CB7">
        <w:rPr>
          <w:rStyle w:val="FootnoteReference"/>
          <w:sz w:val="20"/>
          <w:lang w:val="en-US"/>
        </w:rPr>
        <w:footnoteReference w:id="1"/>
      </w:r>
      <w:r w:rsidRPr="00912421">
        <w:rPr>
          <w:rStyle w:val="Network-bodytext"/>
          <w:rFonts w:eastAsia="Calibri"/>
          <w:b w:val="0"/>
        </w:rPr>
        <w:t xml:space="preserve">.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lastRenderedPageBreak/>
        <w:t xml:space="preserve">Once these choices have been identified, it is simply an empirical issue whether either of these approaches have been applied.  In Australia, compensation for regulatory stranding has not occurred on a prospective basis, and there has been no meaningful consideration of the price and revenue implications of it occurring after the fact.  As US commentators Kolbe and Tye discuss, were significant advanced compensation for regulatory stranding given, it should be quite obvious from the pattern of allowed returns, simply from their required size alone (Kolbe and Tye 1996). </w:t>
      </w:r>
    </w:p>
    <w:p w:rsidR="001127F7" w:rsidRDefault="001127F7" w:rsidP="001127F7">
      <w:pPr>
        <w:spacing w:before="0"/>
        <w:rPr>
          <w:rStyle w:val="Network-bodytext"/>
          <w:rFonts w:eastAsia="Calibri"/>
        </w:rPr>
      </w:pPr>
      <w:r w:rsidRPr="00912421">
        <w:rPr>
          <w:rStyle w:val="Network-bodytext"/>
          <w:rFonts w:eastAsia="Calibri"/>
        </w:rPr>
        <w:t>In the Australian electricity sector, not only is there no claim of pre-compensation seriously advanced, there is nothing in the record of regulatory decisions to suggest it could have occurred.  Any attempt to construct such intent would be highly problematic, and be unlikely to persuade future investors of the rigor or stability of the regulatory compact.</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Asset write-downs would also risk undermining other wider economic efficiency objectives, to the detriment of consumers.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Implementation of any asset write-down proposal would be likely to lead to a significant pause in network investment.  Networks facing the uncertainty of regulatory write-downs would be likely to cancel or defer significant non-discretionary capital investment.  This investment pause would impact on the timing and nature of capital investments, undermining dynamic efficiency objectives through interruption of planned and sequenced network investments.  Regulatory disallowances of sunk investments would also be likely to have an enduring impact on investment over long periods.  Peer-reviewed studies of investment patterns following a sequence of partial disallowances in the regulated US nuclear power generation sector (amounting to US$19 billion) have shown enduring negative investment impacts over a 20 year period (Lyon and Mayo 2005).</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An asset write-down would clearly result in different prices for network usage.  While these prices may be different, however, there is no reason to assume that they would promote a more efficient use of, and investment in, network assets.  Rather, write-downs would affect incentives to invest in more complex and long-lasting ways, by impacting on future network investment and expenditure decisions.  For example, the risk of future asset stranding would be likely to change the mixture of operating and capital cost investments to lower the risk of stranding, leading to the installation of shorter-lived assets, or assets requiring a greater level of operating rather than capital costs.  While this may be an efficient firm-level response to minimise the regulatory risk of future stranding, there is no </w:t>
      </w:r>
      <w:r w:rsidRPr="00EA54DF">
        <w:rPr>
          <w:rStyle w:val="Network-bodytext"/>
          <w:rFonts w:eastAsia="Calibri"/>
          <w:b w:val="0"/>
          <w:i/>
        </w:rPr>
        <w:t xml:space="preserve">a priori </w:t>
      </w:r>
      <w:r w:rsidRPr="00912421">
        <w:rPr>
          <w:rStyle w:val="Network-bodytext"/>
          <w:rFonts w:eastAsia="Calibri"/>
          <w:b w:val="0"/>
        </w:rPr>
        <w:t xml:space="preserve">reason to suggest such changes would represent the achievement of an </w:t>
      </w:r>
      <w:r w:rsidRPr="00912421">
        <w:rPr>
          <w:rStyle w:val="Network-bodytext"/>
          <w:rFonts w:eastAsia="Calibri"/>
          <w:b w:val="0"/>
        </w:rPr>
        <w:lastRenderedPageBreak/>
        <w:t xml:space="preserve">optimal mixture of investments or asset decisions to minimise long-term service costs for consumers.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In circumstances in which network businesses either restricted non-discretionary capital expenditure, or altered the mixture of capital and operating costs to minimise their future exposure to write-downs, there would also be material consequences for future operating costs. Both of these circumstances would be expected to lead to an increase in required operating costs (for example, through increased monitoring and maintenance costs, resulting from a lower level of capital expenditure asset replacement or renewal).  In the absence of any other factors, this substitution effect could be expected to increase network charges.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Networks rapidly substituting operating for capital expenditure would be likely to lead to a ‘price shock’ for consumers, because operating costs are recovered in full from current consumers within each regulatory period.  By contrast, the costs of long-lived capital network investments are (typically) recovered over 30-40 years from both current and future consumers.  This particular impact is additional to any of the network or final price outcomes estimates detailed in this analysis.  It is difficult to quantify because the existence and scope of these substitution possibilities will only be known with any certainty by network owners, and will differ according to the characteristics of each electricity network.</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A further issue relevant to the implementation of any regulatory asset write-down is that it would clearly re-open the issue of the economically appropriate level of the new asset base.  That is, it cannot be presumed without evidence that a value </w:t>
      </w:r>
      <w:r w:rsidRPr="00EA54DF">
        <w:rPr>
          <w:rStyle w:val="Network-bodytext"/>
          <w:rFonts w:eastAsia="Calibri"/>
          <w:b w:val="0"/>
          <w:i/>
        </w:rPr>
        <w:t>lower</w:t>
      </w:r>
      <w:r w:rsidRPr="00912421">
        <w:rPr>
          <w:rStyle w:val="Network-bodytext"/>
          <w:rFonts w:eastAsia="Calibri"/>
          <w:b w:val="0"/>
        </w:rPr>
        <w:t xml:space="preserve"> than the existing level is unambiguously more efficient than an alternative well-founded value.  In these circumstances, there would be potentially strong arguments to revisit the original asset valuation processes undertaken for the most part in the late 1990s, to establish a satisfactory basis for a view of whether they represented an economically efficient starting point for price and revenue setting purposes.  There is certainly evidence to suggest that electricity distribution networks operate a significant range of assets that were not actually recognised in original asset valuation processes.  There are credible economic efficiency arguments to recognise and incorporate any evidence of undervaluing the current regulatory asset base in any reassessment of regulatory asset values.  This issue is one illustration of the complexity and ambiguity created by re-opening asset bases, the recognition of which is a key rationale for predictable roll forward approaches based on the value of past investments.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These issues would be critical policy considerations for rule or policy makers examining these proposals, due to the </w:t>
      </w:r>
      <w:r w:rsidRPr="00EA54DF">
        <w:rPr>
          <w:rStyle w:val="Network-bodytext"/>
          <w:rFonts w:eastAsia="Calibri"/>
          <w:b w:val="0"/>
          <w:i/>
        </w:rPr>
        <w:t>National Electricity Law</w:t>
      </w:r>
      <w:r w:rsidRPr="00912421">
        <w:rPr>
          <w:rStyle w:val="Network-bodytext"/>
          <w:rFonts w:eastAsia="Calibri"/>
          <w:b w:val="0"/>
        </w:rPr>
        <w:t xml:space="preserve"> objective, </w:t>
      </w:r>
      <w:r w:rsidRPr="00912421">
        <w:rPr>
          <w:rStyle w:val="Network-bodytext"/>
          <w:rFonts w:eastAsia="Calibri"/>
          <w:b w:val="0"/>
        </w:rPr>
        <w:lastRenderedPageBreak/>
        <w:t>centering on the long-term interests of consumers, being clearly an economic efficiency-based objective, and directing consideration to issue of ensuring efficient investment in, and operation and use of electricity services</w:t>
      </w:r>
      <w:r w:rsidR="00EA54DF" w:rsidRPr="00EA54DF">
        <w:rPr>
          <w:rStyle w:val="FootnoteReference"/>
          <w:b w:val="0"/>
          <w:color w:val="595959"/>
          <w:sz w:val="20"/>
          <w:lang w:val="en-US"/>
        </w:rPr>
        <w:footnoteReference w:id="2"/>
      </w:r>
      <w:r w:rsidRPr="00912421">
        <w:rPr>
          <w:rStyle w:val="Network-bodytext"/>
          <w:rFonts w:eastAsia="Calibri"/>
          <w:b w:val="0"/>
        </w:rPr>
        <w:t xml:space="preserve">. </w:t>
      </w:r>
    </w:p>
    <w:p w:rsidR="001127F7" w:rsidRPr="00EA54DF" w:rsidRDefault="001127F7" w:rsidP="001127F7">
      <w:pPr>
        <w:pStyle w:val="Heading1"/>
        <w:spacing w:before="0" w:after="120" w:line="240" w:lineRule="auto"/>
        <w:rPr>
          <w:rStyle w:val="Network-bodytext"/>
          <w:rFonts w:eastAsia="Calibri"/>
        </w:rPr>
      </w:pPr>
      <w:r w:rsidRPr="00EA54DF">
        <w:rPr>
          <w:rStyle w:val="Network-bodytext"/>
          <w:rFonts w:eastAsia="Calibri"/>
        </w:rPr>
        <w:t>Claims Made for Regulatory Asset Write-downs</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A variety of economic and policy claims are sometimes made in support of the use of regulatory asset write-downs.  As regulatory asset write-downs are extremely rare, it is difficult to test these claims in other than qualitative terms.  The overwhelming and consistent pattern of regulatory practice in developed economies, and Australia, has been in the direction of maintenance of the regulatory commitment to cost-recovery. </w:t>
      </w:r>
    </w:p>
    <w:p w:rsidR="001127F7" w:rsidRDefault="001127F7" w:rsidP="001127F7">
      <w:pPr>
        <w:spacing w:before="0"/>
        <w:rPr>
          <w:rStyle w:val="Network-bodytext"/>
          <w:rFonts w:eastAsia="Calibri"/>
        </w:rPr>
      </w:pPr>
      <w:r w:rsidRPr="00912421">
        <w:rPr>
          <w:rStyle w:val="Network-bodytext"/>
          <w:rFonts w:eastAsia="Calibri"/>
        </w:rPr>
        <w:t>One claim is that regulatory stranding promotes economically efficient outcomes by reflecting a genuine economic stranding that has already occurred.  A clear example of this argument might be a single rail line serving a mine with an exhausted resource.  Absent any alternative uses for the dedicated line, there is a plausible case to be made that existing and future users of other parts of the common network should no longer face charges reflecting this cost.  This is the basis of the traditional US utility regulatory test of an asset being ‘used and useful’.</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Notice, however, that there are several quite restrictive conditions that need to be met before this claim is viable.  It needs to be clear, for example, that the asset is genuinely stranded, and has no alternative value in use (including its potential option value).  The example is also predicated on a binary standard of an asset being ‘in service’, or ‘stranded’.  Otherwise, a further discussion is needed to establish ‘how much’ of the asset is truly stranded, which is a not a simple exercise.</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Aside for a relatively limited set of clearly by-passed, or obsolete assets, these conditions may be genuinely hard to establish.  A regulator’s hope of doing so is not assisted by the inevitable uncertainty and subjectivity that may attach to forecasting future demand and competitive conditions, technological developments, and potential alternative uses of assets.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An example of these challenges is the widely unforeseen use of the decades-old copper network to deliver very high-speed broadband through a combination of technological developments.  Similarly, it is not obvious in respect of electricity </w:t>
      </w:r>
      <w:r w:rsidRPr="00912421">
        <w:rPr>
          <w:rStyle w:val="Network-bodytext"/>
          <w:rFonts w:eastAsia="Calibri"/>
          <w:b w:val="0"/>
        </w:rPr>
        <w:lastRenderedPageBreak/>
        <w:t xml:space="preserve">networks that distributed energy developments, potential for electric vehicle developments, and increasing ‘two-way’ flow of energy and information mean that the electricity grid will not be </w:t>
      </w:r>
      <w:r w:rsidRPr="00F91268">
        <w:rPr>
          <w:rStyle w:val="Network-bodytext"/>
          <w:rFonts w:eastAsia="Calibri"/>
          <w:b w:val="0"/>
          <w:i/>
        </w:rPr>
        <w:t>more</w:t>
      </w:r>
      <w:r w:rsidRPr="00912421">
        <w:rPr>
          <w:rStyle w:val="Network-bodytext"/>
          <w:rFonts w:eastAsia="Calibri"/>
          <w:b w:val="0"/>
        </w:rPr>
        <w:t xml:space="preserve"> valuable, rather than less.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A second claim is that regulatory asset write-downs are an important tool to ‘punish’ or ‘discipline’ excessive investment.  This claim is typically predicated on an assessment that regulatory gaming may lead to the embedding within the regulatory asset base of excessive past investments.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Both claims are complicated, typically, by the presence of past or existing obligations to invest.  Where a regulated firm has invested to meet binding licence or minimum service obligations, on a non-discretionary basis, it is difficult to see </w:t>
      </w:r>
      <w:r w:rsidRPr="00F91268">
        <w:rPr>
          <w:rStyle w:val="Network-bodytext"/>
          <w:rFonts w:eastAsia="Calibri"/>
          <w:b w:val="0"/>
          <w:i/>
        </w:rPr>
        <w:t>ex post</w:t>
      </w:r>
      <w:r w:rsidRPr="00912421">
        <w:rPr>
          <w:rStyle w:val="Network-bodytext"/>
          <w:rFonts w:eastAsia="Calibri"/>
          <w:b w:val="0"/>
        </w:rPr>
        <w:t xml:space="preserve"> regulatory action as a particularly well-targeted regulatory tool enshrining sound future incentives.  In the case of the electricity regime, opportunities for </w:t>
      </w:r>
      <w:r w:rsidRPr="00F91268">
        <w:rPr>
          <w:rStyle w:val="Network-bodytext"/>
          <w:rFonts w:eastAsia="Calibri"/>
          <w:b w:val="0"/>
          <w:i/>
        </w:rPr>
        <w:t>ex post</w:t>
      </w:r>
      <w:r w:rsidRPr="00912421">
        <w:rPr>
          <w:rStyle w:val="Network-bodytext"/>
          <w:rFonts w:eastAsia="Calibri"/>
          <w:b w:val="0"/>
        </w:rPr>
        <w:t xml:space="preserve"> reviewing of capital expenditures, and in some limited circumstances, stranding of capital investments made during of the previous regulatory period that are in excess of original allowances, are already tools being </w:t>
      </w:r>
      <w:r w:rsidR="0055460F" w:rsidRPr="00912421">
        <w:rPr>
          <w:rStyle w:val="Network-bodytext"/>
          <w:rFonts w:eastAsia="Calibri"/>
          <w:b w:val="0"/>
        </w:rPr>
        <w:t>trialled</w:t>
      </w:r>
      <w:r w:rsidRPr="00912421">
        <w:rPr>
          <w:rStyle w:val="Network-bodytext"/>
          <w:rFonts w:eastAsia="Calibri"/>
          <w:b w:val="0"/>
        </w:rPr>
        <w:t xml:space="preserve"> in upcoming decisions.  </w:t>
      </w:r>
    </w:p>
    <w:p w:rsidR="001127F7" w:rsidRPr="00F91268" w:rsidRDefault="00F9677D" w:rsidP="001127F7">
      <w:pPr>
        <w:pStyle w:val="Heading1"/>
        <w:spacing w:before="0" w:after="120" w:line="240" w:lineRule="auto"/>
        <w:rPr>
          <w:rStyle w:val="Network-bodytext"/>
          <w:rFonts w:eastAsia="Calibri"/>
        </w:rPr>
      </w:pPr>
      <w:r>
        <w:rPr>
          <w:rStyle w:val="Network-bodytext"/>
          <w:rFonts w:eastAsia="Calibri"/>
        </w:rPr>
        <w:t>Practical Alternatives – which</w:t>
      </w:r>
      <w:r w:rsidR="001127F7" w:rsidRPr="00F91268">
        <w:rPr>
          <w:rStyle w:val="Network-bodytext"/>
          <w:rFonts w:eastAsia="Calibri"/>
        </w:rPr>
        <w:t xml:space="preserve"> is </w:t>
      </w:r>
      <w:r w:rsidR="007D2725">
        <w:rPr>
          <w:rStyle w:val="Network-bodytext"/>
          <w:rFonts w:eastAsia="Calibri"/>
        </w:rPr>
        <w:t xml:space="preserve">the </w:t>
      </w:r>
      <w:r w:rsidR="001127F7" w:rsidRPr="00F91268">
        <w:rPr>
          <w:rStyle w:val="Network-bodytext"/>
          <w:rFonts w:eastAsia="Calibri"/>
        </w:rPr>
        <w:t xml:space="preserve">better approach?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If regulatory asset write-downs are not the answer, t</w:t>
      </w:r>
      <w:r w:rsidR="00F9677D">
        <w:rPr>
          <w:rStyle w:val="Network-bodytext"/>
          <w:rFonts w:eastAsia="Calibri"/>
          <w:b w:val="0"/>
        </w:rPr>
        <w:t>he question remains:</w:t>
      </w:r>
      <w:r w:rsidRPr="00912421">
        <w:rPr>
          <w:rStyle w:val="Network-bodytext"/>
          <w:rFonts w:eastAsia="Calibri"/>
          <w:b w:val="0"/>
        </w:rPr>
        <w:t xml:space="preserve"> how should network regulators and policy makers think about some of the drivers that le</w:t>
      </w:r>
      <w:r w:rsidR="00F9677D">
        <w:rPr>
          <w:rStyle w:val="Network-bodytext"/>
          <w:rFonts w:eastAsia="Calibri"/>
          <w:b w:val="0"/>
        </w:rPr>
        <w:t>a</w:t>
      </w:r>
      <w:r w:rsidRPr="00912421">
        <w:rPr>
          <w:rStyle w:val="Network-bodytext"/>
          <w:rFonts w:eastAsia="Calibri"/>
          <w:b w:val="0"/>
        </w:rPr>
        <w:t>d to this issue being raised?</w:t>
      </w:r>
    </w:p>
    <w:p w:rsidR="00CD6F62"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Economically speaking, the logical question to ask is</w:t>
      </w:r>
      <w:r w:rsidR="00CD6F62">
        <w:rPr>
          <w:rStyle w:val="Network-bodytext"/>
          <w:rFonts w:eastAsia="Calibri"/>
          <w:b w:val="0"/>
        </w:rPr>
        <w:t xml:space="preserve">: </w:t>
      </w:r>
      <w:r w:rsidRPr="00912421">
        <w:rPr>
          <w:rStyle w:val="Network-bodytext"/>
          <w:rFonts w:eastAsia="Calibri"/>
          <w:b w:val="0"/>
        </w:rPr>
        <w:t xml:space="preserve">if networks prices are established to be commercially constrained by competing technologies, should the community continue to expend significant resources applying costly pricing regulation in the first place?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The real redundant asset, in the case where workable competitive forces are evident, would appear to be the original regulatory and institutional regime. </w:t>
      </w:r>
    </w:p>
    <w:p w:rsidR="001127F7" w:rsidRPr="00912421" w:rsidRDefault="00CD6F62" w:rsidP="001127F7">
      <w:pPr>
        <w:pStyle w:val="Heading1"/>
        <w:spacing w:before="0" w:after="120" w:line="240" w:lineRule="auto"/>
        <w:rPr>
          <w:rStyle w:val="Network-bodytext"/>
          <w:rFonts w:eastAsia="Calibri"/>
          <w:b w:val="0"/>
        </w:rPr>
      </w:pPr>
      <w:r>
        <w:rPr>
          <w:rStyle w:val="Network-bodytext"/>
          <w:rFonts w:eastAsia="Calibri"/>
          <w:b w:val="0"/>
        </w:rPr>
        <w:t>It is unclear whether this</w:t>
      </w:r>
      <w:r w:rsidR="001127F7" w:rsidRPr="00912421">
        <w:rPr>
          <w:rStyle w:val="Network-bodytext"/>
          <w:rFonts w:eastAsia="Calibri"/>
          <w:b w:val="0"/>
        </w:rPr>
        <w:t xml:space="preserve"> is the circumstance the community faces</w:t>
      </w:r>
      <w:r>
        <w:rPr>
          <w:rStyle w:val="Network-bodytext"/>
          <w:rFonts w:eastAsia="Calibri"/>
          <w:b w:val="0"/>
        </w:rPr>
        <w:t xml:space="preserve"> now</w:t>
      </w:r>
      <w:r w:rsidR="001127F7" w:rsidRPr="00912421">
        <w:rPr>
          <w:rStyle w:val="Network-bodytext"/>
          <w:rFonts w:eastAsia="Calibri"/>
          <w:b w:val="0"/>
        </w:rPr>
        <w:t>, but emerging competition and increasing pricing constraints seem to be, if anything, good reason</w:t>
      </w:r>
      <w:r>
        <w:rPr>
          <w:rStyle w:val="Network-bodytext"/>
          <w:rFonts w:eastAsia="Calibri"/>
          <w:b w:val="0"/>
        </w:rPr>
        <w:t>s</w:t>
      </w:r>
      <w:r w:rsidR="001127F7" w:rsidRPr="00912421">
        <w:rPr>
          <w:rStyle w:val="Network-bodytext"/>
          <w:rFonts w:eastAsia="Calibri"/>
          <w:b w:val="0"/>
        </w:rPr>
        <w:t xml:space="preserve"> for evolution to a leaner and more flexible regulatory regime</w:t>
      </w:r>
      <w:r>
        <w:rPr>
          <w:rStyle w:val="Network-bodytext"/>
          <w:rFonts w:eastAsia="Calibri"/>
          <w:b w:val="0"/>
        </w:rPr>
        <w:t>;</w:t>
      </w:r>
      <w:r w:rsidR="001127F7" w:rsidRPr="00912421">
        <w:rPr>
          <w:rStyle w:val="Network-bodytext"/>
          <w:rFonts w:eastAsia="Calibri"/>
          <w:b w:val="0"/>
        </w:rPr>
        <w:t xml:space="preserve"> rather than one that features scope for </w:t>
      </w:r>
      <w:r w:rsidR="001127F7" w:rsidRPr="00F91268">
        <w:rPr>
          <w:rStyle w:val="Network-bodytext"/>
          <w:rFonts w:eastAsia="Calibri"/>
          <w:b w:val="0"/>
          <w:i/>
        </w:rPr>
        <w:t>ad hoc</w:t>
      </w:r>
      <w:r w:rsidR="001127F7" w:rsidRPr="00912421">
        <w:rPr>
          <w:rStyle w:val="Network-bodytext"/>
          <w:rFonts w:eastAsia="Calibri"/>
          <w:b w:val="0"/>
        </w:rPr>
        <w:t xml:space="preserve"> confiscation. </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In particular, emergence of competition should direct attention to </w:t>
      </w:r>
      <w:r w:rsidR="00CD6F62">
        <w:rPr>
          <w:rStyle w:val="Network-bodytext"/>
          <w:rFonts w:eastAsia="Calibri"/>
          <w:b w:val="0"/>
        </w:rPr>
        <w:t>adaptable</w:t>
      </w:r>
      <w:r w:rsidRPr="00912421">
        <w:rPr>
          <w:rStyle w:val="Network-bodytext"/>
          <w:rFonts w:eastAsia="Calibri"/>
          <w:b w:val="0"/>
        </w:rPr>
        <w:t xml:space="preserve"> frameworks, and calibrated forms of price control to any residual areas of ‘bottleneck’ power.  </w:t>
      </w:r>
      <w:r w:rsidR="00CD6F62">
        <w:rPr>
          <w:rStyle w:val="Network-bodytext"/>
          <w:rFonts w:eastAsia="Calibri"/>
          <w:b w:val="0"/>
        </w:rPr>
        <w:t>Also, t</w:t>
      </w:r>
      <w:r w:rsidRPr="00912421">
        <w:rPr>
          <w:rStyle w:val="Network-bodytext"/>
          <w:rFonts w:eastAsia="Calibri"/>
          <w:b w:val="0"/>
        </w:rPr>
        <w:t>he results of ENA’s quantitative write-down analysis show the strong consumer benefit in capacity to efficient</w:t>
      </w:r>
      <w:r w:rsidR="005F58D0">
        <w:rPr>
          <w:rStyle w:val="Network-bodytext"/>
          <w:rFonts w:eastAsia="Calibri"/>
          <w:b w:val="0"/>
        </w:rPr>
        <w:t>ly</w:t>
      </w:r>
      <w:r w:rsidRPr="00912421">
        <w:rPr>
          <w:rStyle w:val="Network-bodytext"/>
          <w:rFonts w:eastAsia="Calibri"/>
          <w:b w:val="0"/>
        </w:rPr>
        <w:t xml:space="preserve"> finance long-lived capital investments</w:t>
      </w:r>
      <w:r w:rsidR="00CD6F62">
        <w:rPr>
          <w:rStyle w:val="Network-bodytext"/>
          <w:rFonts w:eastAsia="Calibri"/>
          <w:b w:val="0"/>
        </w:rPr>
        <w:t>.  F</w:t>
      </w:r>
      <w:r w:rsidRPr="00912421">
        <w:rPr>
          <w:rStyle w:val="Network-bodytext"/>
          <w:rFonts w:eastAsia="Calibri"/>
          <w:b w:val="0"/>
        </w:rPr>
        <w:t>ocus must also remain</w:t>
      </w:r>
      <w:r w:rsidR="00CD6F62">
        <w:rPr>
          <w:rStyle w:val="Network-bodytext"/>
          <w:rFonts w:eastAsia="Calibri"/>
          <w:b w:val="0"/>
        </w:rPr>
        <w:t>, therefore,</w:t>
      </w:r>
      <w:r w:rsidRPr="00912421">
        <w:rPr>
          <w:rStyle w:val="Network-bodytext"/>
          <w:rFonts w:eastAsia="Calibri"/>
          <w:b w:val="0"/>
        </w:rPr>
        <w:t xml:space="preserve"> on regulatory policy and practice that protect this benefit.</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lastRenderedPageBreak/>
        <w:t xml:space="preserve">More generally, a ‘no-regrets’ approach would be to </w:t>
      </w:r>
      <w:r w:rsidR="00355A67">
        <w:rPr>
          <w:rStyle w:val="Network-bodytext"/>
          <w:rFonts w:eastAsia="Calibri"/>
          <w:b w:val="0"/>
        </w:rPr>
        <w:t>use</w:t>
      </w:r>
      <w:r w:rsidRPr="00912421">
        <w:rPr>
          <w:rStyle w:val="Network-bodytext"/>
          <w:rFonts w:eastAsia="Calibri"/>
          <w:b w:val="0"/>
        </w:rPr>
        <w:t xml:space="preserve"> exactly the same types of tools used in the competitive market to manage risks.  This includes exploring flexibility </w:t>
      </w:r>
      <w:r w:rsidR="00355A67">
        <w:rPr>
          <w:rStyle w:val="Network-bodytext"/>
          <w:rFonts w:eastAsia="Calibri"/>
          <w:b w:val="0"/>
        </w:rPr>
        <w:t>of</w:t>
      </w:r>
      <w:r w:rsidRPr="00912421">
        <w:rPr>
          <w:rStyle w:val="Network-bodytext"/>
          <w:rFonts w:eastAsia="Calibri"/>
          <w:b w:val="0"/>
        </w:rPr>
        <w:t xml:space="preserve"> depreciation approaches</w:t>
      </w:r>
      <w:r w:rsidR="00355A67">
        <w:rPr>
          <w:rStyle w:val="Network-bodytext"/>
          <w:rFonts w:eastAsia="Calibri"/>
          <w:b w:val="0"/>
        </w:rPr>
        <w:t>, which</w:t>
      </w:r>
      <w:r w:rsidRPr="00912421">
        <w:rPr>
          <w:rStyle w:val="Network-bodytext"/>
          <w:rFonts w:eastAsia="Calibri"/>
          <w:b w:val="0"/>
        </w:rPr>
        <w:t xml:space="preserve"> respond to market circumstances and evolving risks.  </w:t>
      </w:r>
      <w:r w:rsidR="00355A67">
        <w:rPr>
          <w:rStyle w:val="Network-bodytext"/>
          <w:rFonts w:eastAsia="Calibri"/>
          <w:b w:val="0"/>
        </w:rPr>
        <w:t>A priority should also be pricing</w:t>
      </w:r>
      <w:r w:rsidRPr="00912421">
        <w:rPr>
          <w:rStyle w:val="Network-bodytext"/>
          <w:rFonts w:eastAsia="Calibri"/>
          <w:b w:val="0"/>
        </w:rPr>
        <w:t xml:space="preserve"> that promote</w:t>
      </w:r>
      <w:r w:rsidR="00355A67">
        <w:rPr>
          <w:rStyle w:val="Network-bodytext"/>
          <w:rFonts w:eastAsia="Calibri"/>
          <w:b w:val="0"/>
        </w:rPr>
        <w:t>s</w:t>
      </w:r>
      <w:r w:rsidRPr="00912421">
        <w:rPr>
          <w:rStyle w:val="Network-bodytext"/>
          <w:rFonts w:eastAsia="Calibri"/>
          <w:b w:val="0"/>
        </w:rPr>
        <w:t xml:space="preserve"> efficient usage and consumption signals</w:t>
      </w:r>
      <w:r w:rsidR="00355A67">
        <w:rPr>
          <w:rStyle w:val="Network-bodytext"/>
          <w:rFonts w:eastAsia="Calibri"/>
          <w:b w:val="0"/>
        </w:rPr>
        <w:t xml:space="preserve">. </w:t>
      </w:r>
      <w:r w:rsidRPr="00912421">
        <w:rPr>
          <w:rStyle w:val="Network-bodytext"/>
          <w:rFonts w:eastAsia="Calibri"/>
          <w:b w:val="0"/>
        </w:rPr>
        <w:t xml:space="preserve"> Collectively, these tools and approaches provide far greater scope for </w:t>
      </w:r>
      <w:r w:rsidR="00355A67">
        <w:rPr>
          <w:rStyle w:val="Network-bodytext"/>
          <w:rFonts w:eastAsia="Calibri"/>
          <w:b w:val="0"/>
        </w:rPr>
        <w:t>much better</w:t>
      </w:r>
      <w:r w:rsidRPr="00912421">
        <w:rPr>
          <w:rStyle w:val="Network-bodytext"/>
          <w:rFonts w:eastAsia="Calibri"/>
          <w:b w:val="0"/>
        </w:rPr>
        <w:t xml:space="preserve"> outcomes for consumers relying on regulated infrastructure services</w:t>
      </w:r>
      <w:r w:rsidR="008E68AA">
        <w:rPr>
          <w:rStyle w:val="Network-bodytext"/>
          <w:rFonts w:eastAsia="Calibri"/>
          <w:b w:val="0"/>
        </w:rPr>
        <w:t>,</w:t>
      </w:r>
      <w:r w:rsidRPr="00912421">
        <w:rPr>
          <w:rStyle w:val="Network-bodytext"/>
          <w:rFonts w:eastAsia="Calibri"/>
          <w:b w:val="0"/>
        </w:rPr>
        <w:t xml:space="preserve"> than do calls for regulatory write-downs.</w:t>
      </w:r>
    </w:p>
    <w:p w:rsidR="001127F7" w:rsidRPr="007D2725" w:rsidRDefault="001127F7" w:rsidP="001127F7">
      <w:pPr>
        <w:pStyle w:val="Heading1"/>
        <w:spacing w:before="0" w:after="120" w:line="240" w:lineRule="auto"/>
        <w:rPr>
          <w:rStyle w:val="Network-bodytext"/>
          <w:rFonts w:eastAsia="Calibri"/>
        </w:rPr>
      </w:pPr>
      <w:r w:rsidRPr="007D2725">
        <w:rPr>
          <w:rStyle w:val="Network-bodytext"/>
          <w:rFonts w:eastAsia="Calibri"/>
        </w:rPr>
        <w:t>References</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Greenwald, B (1984), ‘Rate Base Selection and the Structure of Regulation’, </w:t>
      </w:r>
      <w:r w:rsidR="000920C7" w:rsidRPr="000920C7">
        <w:rPr>
          <w:rStyle w:val="Network-bodytext"/>
          <w:rFonts w:eastAsia="Calibri"/>
          <w:b w:val="0"/>
          <w:i/>
        </w:rPr>
        <w:t>RAND</w:t>
      </w:r>
      <w:r w:rsidRPr="000920C7">
        <w:rPr>
          <w:rStyle w:val="Network-bodytext"/>
          <w:rFonts w:eastAsia="Calibri"/>
          <w:b w:val="0"/>
          <w:i/>
        </w:rPr>
        <w:t xml:space="preserve"> Journal of Economics</w:t>
      </w:r>
      <w:r w:rsidRPr="00912421">
        <w:rPr>
          <w:rStyle w:val="Network-bodytext"/>
          <w:rFonts w:eastAsia="Calibri"/>
          <w:b w:val="0"/>
        </w:rPr>
        <w:t>, 15(1), Spring, pp. 85-95.</w:t>
      </w:r>
    </w:p>
    <w:p w:rsidR="001127F7" w:rsidRPr="00912421" w:rsidRDefault="001127F7"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Kolbe, A and Tye, W (1996), ‘Compensation for the Risk of Stranded Assets’, </w:t>
      </w:r>
      <w:r w:rsidRPr="000920C7">
        <w:rPr>
          <w:rStyle w:val="Network-bodytext"/>
          <w:rFonts w:eastAsia="Calibri"/>
          <w:b w:val="0"/>
          <w:i/>
        </w:rPr>
        <w:t>Energy Policy</w:t>
      </w:r>
      <w:r w:rsidRPr="00912421">
        <w:rPr>
          <w:rStyle w:val="Network-bodytext"/>
          <w:rFonts w:eastAsia="Calibri"/>
          <w:b w:val="0"/>
        </w:rPr>
        <w:t>, 24(12), pp. 1025-1050.</w:t>
      </w:r>
    </w:p>
    <w:p w:rsidR="001127F7" w:rsidRPr="00912421" w:rsidRDefault="0055460F" w:rsidP="001127F7">
      <w:pPr>
        <w:pStyle w:val="Heading1"/>
        <w:spacing w:before="0" w:after="120" w:line="240" w:lineRule="auto"/>
        <w:rPr>
          <w:rStyle w:val="Network-bodytext"/>
          <w:rFonts w:eastAsia="Calibri"/>
          <w:b w:val="0"/>
        </w:rPr>
      </w:pPr>
      <w:r w:rsidRPr="00912421">
        <w:rPr>
          <w:rStyle w:val="Network-bodytext"/>
          <w:rFonts w:eastAsia="Calibri"/>
          <w:b w:val="0"/>
        </w:rPr>
        <w:t xml:space="preserve">Lyon, T and Mayo J (2005), ‘Regulatory Opportunism and Investment Behavior:  Evidence from the U.S. Electric Utility Industry’, </w:t>
      </w:r>
      <w:r w:rsidRPr="000920C7">
        <w:rPr>
          <w:rStyle w:val="Network-bodytext"/>
          <w:rFonts w:eastAsia="Calibri"/>
          <w:b w:val="0"/>
          <w:i/>
        </w:rPr>
        <w:t>RAND Journal of Economics</w:t>
      </w:r>
      <w:r w:rsidRPr="00912421">
        <w:rPr>
          <w:rStyle w:val="Network-bodytext"/>
          <w:rFonts w:eastAsia="Calibri"/>
          <w:b w:val="0"/>
        </w:rPr>
        <w:t>, 36(3), pp. 628-644.</w:t>
      </w:r>
    </w:p>
    <w:p w:rsidR="001127F7" w:rsidRDefault="001127F7" w:rsidP="001127F7">
      <w:pPr>
        <w:spacing w:before="0"/>
        <w:rPr>
          <w:rStyle w:val="Network-bodytext"/>
          <w:rFonts w:eastAsia="Calibri"/>
        </w:rPr>
      </w:pPr>
      <w:r w:rsidRPr="00912421">
        <w:rPr>
          <w:rStyle w:val="Network-bodytext"/>
          <w:rFonts w:eastAsia="Calibri"/>
        </w:rPr>
        <w:t>Vogelsang, Ingo (2014), ‘Regulating in the Face of Declining Demand’, Presentation to the Fifteenth ACCC/AER Regulatory Conference, August.</w:t>
      </w:r>
    </w:p>
    <w:p w:rsidR="001127F7" w:rsidRDefault="001127F7" w:rsidP="001127F7">
      <w:pPr>
        <w:spacing w:before="0"/>
        <w:rPr>
          <w:rStyle w:val="Network-bodytext"/>
          <w:rFonts w:eastAsia="Calibri"/>
        </w:rPr>
      </w:pPr>
    </w:p>
    <w:p w:rsidR="001127F7" w:rsidRDefault="001127F7" w:rsidP="001127F7">
      <w:pPr>
        <w:spacing w:before="0"/>
        <w:rPr>
          <w:rStyle w:val="Network-bodytext"/>
          <w:rFonts w:eastAsia="Calibri"/>
        </w:rPr>
      </w:pPr>
    </w:p>
    <w:p w:rsidR="001127F7" w:rsidRPr="001127F7" w:rsidRDefault="001127F7" w:rsidP="001127F7">
      <w:pPr>
        <w:spacing w:before="0"/>
        <w:rPr>
          <w:rFonts w:eastAsia="Calibri" w:cs="Arial"/>
          <w:lang w:eastAsia="en-US"/>
        </w:rPr>
      </w:pPr>
    </w:p>
    <w:p w:rsidR="0062343B" w:rsidRPr="0033733D" w:rsidRDefault="0062343B" w:rsidP="0062343B">
      <w:pPr>
        <w:spacing w:before="0" w:line="240" w:lineRule="auto"/>
        <w:rPr>
          <w:rFonts w:eastAsia="Calibri" w:cs="Arial"/>
          <w:b/>
          <w:i/>
          <w:lang w:eastAsia="en-US"/>
        </w:rPr>
      </w:pPr>
    </w:p>
    <w:p w:rsidR="0062343B" w:rsidRPr="00B84555" w:rsidRDefault="0062343B" w:rsidP="00222AE3">
      <w:pPr>
        <w:pStyle w:val="BodyText"/>
        <w:spacing w:before="120" w:after="120" w:line="240" w:lineRule="auto"/>
        <w:rPr>
          <w:rFonts w:ascii="Arial" w:hAnsi="Arial" w:cs="Arial"/>
        </w:rPr>
        <w:sectPr w:rsidR="0062343B" w:rsidRPr="00B84555" w:rsidSect="008D0071">
          <w:headerReference w:type="default" r:id="rId15"/>
          <w:endnotePr>
            <w:numFmt w:val="decimal"/>
          </w:endnotePr>
          <w:type w:val="continuous"/>
          <w:pgSz w:w="11906" w:h="16838" w:code="9"/>
          <w:pgMar w:top="1985" w:right="851" w:bottom="1134" w:left="851" w:header="567" w:footer="567" w:gutter="0"/>
          <w:pgNumType w:start="1"/>
          <w:cols w:num="2" w:space="708" w:equalWidth="0">
            <w:col w:w="4748" w:space="708"/>
            <w:col w:w="4748"/>
          </w:cols>
          <w:titlePg/>
          <w:docGrid w:linePitch="360"/>
        </w:sectPr>
      </w:pPr>
    </w:p>
    <w:p w:rsidR="00F931E4" w:rsidRPr="0043791D" w:rsidRDefault="009A44DA" w:rsidP="00F931E4">
      <w:pPr>
        <w:pStyle w:val="Heading1"/>
        <w:spacing w:line="240" w:lineRule="auto"/>
        <w:rPr>
          <w:rFonts w:cs="Arial"/>
        </w:rPr>
      </w:pPr>
      <w:r w:rsidRPr="0043791D">
        <w:rPr>
          <w:rFonts w:cs="Arial"/>
        </w:rPr>
        <w:lastRenderedPageBreak/>
        <w:t>Critical Issues i</w:t>
      </w:r>
      <w:bookmarkStart w:id="0" w:name="OLE_LINK17"/>
      <w:bookmarkStart w:id="1" w:name="OLE_LINK18"/>
      <w:bookmarkStart w:id="2" w:name="OLE_LINK19"/>
      <w:bookmarkStart w:id="3" w:name="OLE_LINK20"/>
      <w:r w:rsidR="00073D6D" w:rsidRPr="0043791D">
        <w:rPr>
          <w:rFonts w:cs="Arial"/>
        </w:rPr>
        <w:t>n Regulation – From the Journal</w:t>
      </w:r>
      <w:bookmarkEnd w:id="0"/>
      <w:bookmarkEnd w:id="1"/>
      <w:bookmarkEnd w:id="2"/>
      <w:bookmarkEnd w:id="3"/>
      <w:r w:rsidR="003142E8" w:rsidRPr="0043791D">
        <w:rPr>
          <w:rFonts w:cs="Arial"/>
        </w:rPr>
        <w:t>s</w:t>
      </w:r>
    </w:p>
    <w:p w:rsidR="00F931E4" w:rsidRPr="0043791D" w:rsidRDefault="00F931E4" w:rsidP="00F931E4">
      <w:pPr>
        <w:pStyle w:val="Heading2"/>
        <w:spacing w:before="240" w:after="240"/>
        <w:rPr>
          <w:rFonts w:cs="Arial"/>
        </w:rPr>
        <w:sectPr w:rsidR="00F931E4" w:rsidRPr="0043791D" w:rsidSect="00556789">
          <w:footerReference w:type="default" r:id="rId16"/>
          <w:endnotePr>
            <w:numFmt w:val="decimal"/>
          </w:endnotePr>
          <w:pgSz w:w="11906" w:h="16838" w:code="9"/>
          <w:pgMar w:top="1985" w:right="851" w:bottom="1134" w:left="851" w:header="567" w:footer="567" w:gutter="0"/>
          <w:cols w:space="708"/>
          <w:docGrid w:linePitch="360"/>
        </w:sectPr>
      </w:pPr>
    </w:p>
    <w:p w:rsidR="00BE1EE1" w:rsidRPr="00440C48" w:rsidRDefault="00BE1EE1" w:rsidP="00BE1EE1">
      <w:pPr>
        <w:rPr>
          <w:rStyle w:val="Network-bodytext"/>
          <w:rFonts w:eastAsia="Calibri"/>
        </w:rPr>
      </w:pPr>
      <w:r w:rsidRPr="00B24DF7">
        <w:rPr>
          <w:rStyle w:val="Heading3Char"/>
        </w:rPr>
        <w:lastRenderedPageBreak/>
        <w:t>Integrating Regulatory and Antitrust Powers:  Does It Work? Case Studies from Spain and Mexico</w:t>
      </w:r>
      <w:r w:rsidRPr="00440C48">
        <w:rPr>
          <w:rStyle w:val="Network-bodytext"/>
          <w:rFonts w:eastAsia="Calibri"/>
        </w:rPr>
        <w:t xml:space="preserve">, Juan Delgado and Elisa Mariscal, </w:t>
      </w:r>
      <w:r w:rsidRPr="00B24DF7">
        <w:rPr>
          <w:rStyle w:val="Network-bodytext"/>
          <w:rFonts w:eastAsia="Calibri"/>
          <w:i/>
        </w:rPr>
        <w:t>Competition Policy International</w:t>
      </w:r>
      <w:r w:rsidRPr="00440C48">
        <w:rPr>
          <w:rStyle w:val="Network-bodytext"/>
          <w:rFonts w:eastAsia="Calibri"/>
        </w:rPr>
        <w:t>, 10, 1, Spring 2014, pp. 135-159.</w:t>
      </w:r>
    </w:p>
    <w:p w:rsidR="00BE1EE1" w:rsidRPr="00440C48" w:rsidRDefault="00BE1EE1" w:rsidP="00BE1EE1">
      <w:pPr>
        <w:rPr>
          <w:rStyle w:val="Network-bodytext"/>
          <w:rFonts w:eastAsia="Calibri"/>
        </w:rPr>
      </w:pPr>
      <w:r w:rsidRPr="00440C48">
        <w:rPr>
          <w:rStyle w:val="Network-bodytext"/>
          <w:rFonts w:eastAsia="Calibri"/>
        </w:rPr>
        <w:t xml:space="preserve">This article focuses on the analysis of ‘multi-purpose regulators’ that combine regulatory and antitrust powers, such as the Spanish </w:t>
      </w:r>
      <w:r w:rsidRPr="00B24DF7">
        <w:rPr>
          <w:rStyle w:val="Network-bodytext"/>
          <w:rFonts w:eastAsia="Calibri"/>
          <w:i/>
        </w:rPr>
        <w:t>Comisión Nacional de los Mercados y la Competencia</w:t>
      </w:r>
      <w:r w:rsidRPr="00440C48">
        <w:rPr>
          <w:rStyle w:val="Network-bodytext"/>
          <w:rFonts w:eastAsia="Calibri"/>
        </w:rPr>
        <w:t xml:space="preserve"> (CNMC).  In this article, Juan Delgado and Elisa Mariscal:  focus on institutional design; review the existing literature on </w:t>
      </w:r>
      <w:r w:rsidRPr="00C56818">
        <w:rPr>
          <w:rStyle w:val="Network-bodytext"/>
          <w:rFonts w:eastAsia="Calibri"/>
        </w:rPr>
        <w:t>the pros and cons of single-purpose versus multi-purpose regulators; and use the new Spanish and Mexican institutional settings to ‘contrast how such</w:t>
      </w:r>
      <w:r w:rsidRPr="00440C48">
        <w:rPr>
          <w:rStyle w:val="Network-bodytext"/>
          <w:rFonts w:eastAsia="Calibri"/>
        </w:rPr>
        <w:t xml:space="preserve"> pros and cons are designed to operate on paper and how they do so in real life’.  The authors’ overall goal is to look for evidence, at the very initial stage of the reforms in both countries, of whether these countries are ‘moving closer to a rule-of-law equilibrium’.</w:t>
      </w:r>
    </w:p>
    <w:p w:rsidR="00BE1EE1" w:rsidRPr="00440C48" w:rsidRDefault="00BE1EE1" w:rsidP="00BE1EE1">
      <w:pPr>
        <w:rPr>
          <w:rStyle w:val="Network-bodytext"/>
          <w:rFonts w:eastAsia="Calibri"/>
        </w:rPr>
      </w:pPr>
      <w:r w:rsidRPr="00440C48">
        <w:rPr>
          <w:rStyle w:val="Network-bodytext"/>
          <w:rFonts w:eastAsia="Calibri"/>
        </w:rPr>
        <w:t xml:space="preserve">The CNMC resulted from the integration of the former competition (antitrust) authority, </w:t>
      </w:r>
      <w:r w:rsidRPr="00B24DF7">
        <w:rPr>
          <w:rStyle w:val="Network-bodytext"/>
          <w:rFonts w:eastAsia="Calibri"/>
          <w:i/>
        </w:rPr>
        <w:t>Comisión Nacional de la Competencia</w:t>
      </w:r>
      <w:r w:rsidRPr="00440C48">
        <w:rPr>
          <w:rStyle w:val="Network-bodytext"/>
          <w:rFonts w:eastAsia="Calibri"/>
        </w:rPr>
        <w:t xml:space="preserve"> (CNC) with six area-specific regulators responsible for energy, telecommunications, audiovisual media, railways, postal services and airports.  The CNMC consists of a decision board, composed of ten members, and four Directorates (antitrust, energy, telecommunications and audiovisual, and transport and postal services).  There are other horizontal units such as a legal service that reports to the board; and a competition-advocacy department that reports directly to the Chairman.  The board is divided in two chambers: the antitrust chamber, chaired by the Chairman, and the regulatory chamber, chaired by the Deputy Chairman.  There is a mechanism for exchanging opinions between chambers and discrepancies between chambers are resolved at plenary sessions of the two chambers.</w:t>
      </w:r>
    </w:p>
    <w:p w:rsidR="00BE1EE1" w:rsidRPr="00440C48" w:rsidRDefault="00BE1EE1" w:rsidP="00BE1EE1">
      <w:pPr>
        <w:rPr>
          <w:rStyle w:val="Network-bodytext"/>
          <w:rFonts w:eastAsia="Calibri"/>
        </w:rPr>
      </w:pPr>
      <w:r w:rsidRPr="00440C48">
        <w:rPr>
          <w:rStyle w:val="Network-bodytext"/>
          <w:rFonts w:eastAsia="Calibri"/>
        </w:rPr>
        <w:t xml:space="preserve">The authors first consider the issue of synergies </w:t>
      </w:r>
      <w:r w:rsidRPr="00B24DF7">
        <w:rPr>
          <w:rStyle w:val="Network-bodytext"/>
          <w:rFonts w:eastAsia="Calibri"/>
          <w:i/>
        </w:rPr>
        <w:t>versus</w:t>
      </w:r>
      <w:r w:rsidRPr="00440C48">
        <w:rPr>
          <w:rStyle w:val="Network-bodytext"/>
          <w:rFonts w:eastAsia="Calibri"/>
        </w:rPr>
        <w:t xml:space="preserve"> conflict.  Synergies might potentially arise at the Board level both within the regulatory chamber that deals with several areas, and therefore can apply consistent regulatory principles, and across the two chambers, since the consultation mechanism between chambers can realise synergies between regulation and antitrust enforcement.  The integration of institutions can also increase administrative efficiency, which the authors see as a second-order benefit that should not be a driver for integration.   Creation of a multi-purpose regulator can also generate conflicts.</w:t>
      </w:r>
      <w:r w:rsidR="009B35E7">
        <w:rPr>
          <w:rStyle w:val="Network-bodytext"/>
          <w:rFonts w:eastAsia="Calibri"/>
        </w:rPr>
        <w:t xml:space="preserve"> </w:t>
      </w:r>
      <w:r>
        <w:rPr>
          <w:rStyle w:val="Network-bodytext"/>
          <w:rFonts w:eastAsia="Calibri"/>
        </w:rPr>
        <w:t xml:space="preserve"> </w:t>
      </w:r>
    </w:p>
    <w:p w:rsidR="00BE1EE1" w:rsidRPr="00440C48" w:rsidRDefault="00BE1EE1" w:rsidP="00BE1EE1">
      <w:pPr>
        <w:rPr>
          <w:rStyle w:val="Network-bodytext"/>
          <w:rFonts w:eastAsia="Calibri"/>
        </w:rPr>
      </w:pPr>
      <w:r w:rsidRPr="00440C48">
        <w:rPr>
          <w:rStyle w:val="Network-bodytext"/>
          <w:rFonts w:eastAsia="Calibri"/>
        </w:rPr>
        <w:lastRenderedPageBreak/>
        <w:t xml:space="preserve">A strong multi-purpose regulator will be able better to influence decision-makers and get its proposals through the political process.  Also, being able to use a multi-perspective approach could allow regulators to elaborate a more comprehensive and effective strategy on area-specific issues.  </w:t>
      </w:r>
    </w:p>
    <w:p w:rsidR="00BE1EE1" w:rsidRPr="00440C48" w:rsidRDefault="00BE1EE1" w:rsidP="00BE1EE1">
      <w:pPr>
        <w:rPr>
          <w:rStyle w:val="Network-bodytext"/>
          <w:rFonts w:eastAsia="Calibri"/>
        </w:rPr>
      </w:pPr>
      <w:r w:rsidRPr="00440C48">
        <w:rPr>
          <w:rStyle w:val="Network-bodytext"/>
          <w:rFonts w:eastAsia="Calibri"/>
        </w:rPr>
        <w:t>An independent agency will more likely use its powers to enforce technical decisions and rules versus short-term political goals or agendas.  While independence from the political process is important, independent regulators must have some form of mechanism in which they are accountable via, for example, the control of their budgets.</w:t>
      </w:r>
    </w:p>
    <w:p w:rsidR="00BE1EE1" w:rsidRPr="00440C48" w:rsidRDefault="00BE1EE1" w:rsidP="00BE1EE1">
      <w:pPr>
        <w:rPr>
          <w:rStyle w:val="Network-bodytext"/>
          <w:rFonts w:eastAsia="Calibri"/>
        </w:rPr>
      </w:pPr>
      <w:r w:rsidRPr="00440C48">
        <w:rPr>
          <w:rStyle w:val="Network-bodytext"/>
          <w:rFonts w:eastAsia="Calibri"/>
        </w:rPr>
        <w:t>Juan Delgado and Elisa Mariscal also consider whether it is easier or harder to ‘capture’ a single-purpose regulator (that oversees multiple sectors but needs to coordinate in order to enforce the law) or a multi-purpose regulator (that may have conflicting objectives).</w:t>
      </w:r>
    </w:p>
    <w:p w:rsidR="00BE1EE1" w:rsidRPr="00C56818" w:rsidRDefault="00BE1EE1" w:rsidP="00BE1EE1">
      <w:pPr>
        <w:rPr>
          <w:rStyle w:val="Network-bodytext"/>
          <w:rFonts w:eastAsia="Calibri"/>
          <w:b/>
        </w:rPr>
      </w:pPr>
      <w:r w:rsidRPr="00440C48">
        <w:rPr>
          <w:rStyle w:val="Network-bodytext"/>
          <w:rFonts w:eastAsia="Calibri"/>
        </w:rPr>
        <w:t xml:space="preserve">The ultimate aim of institutional design is to ensure an effective enforcement of the law.  The success of the new institutional settings both in Spain and Mexico is yet to be proved.  According to the authors, some features of the new institutions were not fully motivated by the aim of improving regulatory enforcement.  This can lead to a non-materialisation of the potential benefits.  The following will be crucial to exploit the complementarities of regulatory and antitrust policies:  fine-tuning of the institutional design; the details of the implementation; the internal procedural design; and the new culture of the </w:t>
      </w:r>
      <w:r w:rsidRPr="00C56818">
        <w:rPr>
          <w:rStyle w:val="Network-bodytext"/>
          <w:rFonts w:eastAsia="Calibri"/>
        </w:rPr>
        <w:t>institutions and governments.</w:t>
      </w:r>
      <w:r w:rsidR="009B35E7" w:rsidRPr="00C56818">
        <w:rPr>
          <w:rStyle w:val="Network-bodytext"/>
          <w:rFonts w:eastAsia="Calibri"/>
        </w:rPr>
        <w:t xml:space="preserve">  </w:t>
      </w:r>
    </w:p>
    <w:p w:rsidR="00BE1EE1" w:rsidRPr="00440C48" w:rsidRDefault="00BE1EE1" w:rsidP="00BE1EE1">
      <w:pPr>
        <w:autoSpaceDE w:val="0"/>
        <w:autoSpaceDN w:val="0"/>
        <w:rPr>
          <w:rStyle w:val="Network-bodytext"/>
          <w:rFonts w:eastAsia="Calibri"/>
        </w:rPr>
      </w:pPr>
      <w:r w:rsidRPr="00B24DF7">
        <w:rPr>
          <w:rStyle w:val="Heading3Char"/>
        </w:rPr>
        <w:t>The Desirability of Forgiveness in Regulatory Enforcement</w:t>
      </w:r>
      <w:r w:rsidRPr="00440C48">
        <w:rPr>
          <w:rStyle w:val="Network-bodytext"/>
          <w:rFonts w:eastAsia="Calibri"/>
        </w:rPr>
        <w:t xml:space="preserve">, Arun S Malik, </w:t>
      </w:r>
      <w:r w:rsidRPr="00B24DF7">
        <w:rPr>
          <w:rStyle w:val="Network-bodytext"/>
          <w:rFonts w:eastAsia="Calibri"/>
          <w:i/>
        </w:rPr>
        <w:t>Journal of Regulatory Economics</w:t>
      </w:r>
      <w:r w:rsidRPr="00440C48">
        <w:rPr>
          <w:rStyle w:val="Network-bodytext"/>
          <w:rFonts w:eastAsia="Calibri"/>
        </w:rPr>
        <w:t>, 46, 2014, pp. 1-22.</w:t>
      </w:r>
    </w:p>
    <w:p w:rsidR="00BE1EE1" w:rsidRPr="00440C48" w:rsidRDefault="00BE1EE1" w:rsidP="00BE1EE1">
      <w:pPr>
        <w:autoSpaceDE w:val="0"/>
        <w:autoSpaceDN w:val="0"/>
        <w:rPr>
          <w:rStyle w:val="Network-bodytext"/>
          <w:rFonts w:eastAsia="Calibri"/>
        </w:rPr>
      </w:pPr>
      <w:r w:rsidRPr="00440C48">
        <w:rPr>
          <w:rStyle w:val="Network-bodytext"/>
          <w:rFonts w:eastAsia="Calibri"/>
        </w:rPr>
        <w:t xml:space="preserve">This paper is about enforcement of compliance with economic regulation.  The author, Arun Malik, shows that a simple deterrence-based model of regulatory enforcement can be extended to allow for selective enforcement that takes into account a business’s efforts to comply with regulation.  Malik’s model aims to provide a simple efficiency-based justification for selective enforcement based on an assessment of a violator’s efforts to comply.  This is accomplished in the context of a (non-cooperative) principal-agent model with moral hazard.  The article is quite technical, although readability is enhanced by placing the most technical analysis in an appendix.  There is a comprehensive literature review and the reference list contains 34 items, many of which are from three leading journals in this area: the </w:t>
      </w:r>
      <w:r w:rsidRPr="00B24DF7">
        <w:rPr>
          <w:rStyle w:val="Network-bodytext"/>
          <w:rFonts w:eastAsia="Calibri"/>
          <w:i/>
        </w:rPr>
        <w:t xml:space="preserve">Journal of </w:t>
      </w:r>
      <w:r w:rsidRPr="00B24DF7">
        <w:rPr>
          <w:rStyle w:val="Network-bodytext"/>
          <w:rFonts w:eastAsia="Calibri"/>
          <w:i/>
        </w:rPr>
        <w:lastRenderedPageBreak/>
        <w:t>Regulatory Economics</w:t>
      </w:r>
      <w:r w:rsidRPr="00440C48">
        <w:rPr>
          <w:rStyle w:val="Network-bodytext"/>
          <w:rFonts w:eastAsia="Calibri"/>
        </w:rPr>
        <w:t xml:space="preserve">; the </w:t>
      </w:r>
      <w:r w:rsidRPr="00B24DF7">
        <w:rPr>
          <w:rStyle w:val="Network-bodytext"/>
          <w:rFonts w:eastAsia="Calibri"/>
          <w:i/>
        </w:rPr>
        <w:t>Bell (Rand) Journal</w:t>
      </w:r>
      <w:r w:rsidRPr="00440C48">
        <w:rPr>
          <w:rStyle w:val="Network-bodytext"/>
          <w:rFonts w:eastAsia="Calibri"/>
        </w:rPr>
        <w:t xml:space="preserve">; and the </w:t>
      </w:r>
      <w:r w:rsidRPr="00B24DF7">
        <w:rPr>
          <w:rStyle w:val="Network-bodytext"/>
          <w:rFonts w:eastAsia="Calibri"/>
          <w:i/>
        </w:rPr>
        <w:t>Journal of Political Economy</w:t>
      </w:r>
      <w:r w:rsidRPr="00440C48">
        <w:rPr>
          <w:rStyle w:val="Network-bodytext"/>
          <w:rFonts w:eastAsia="Calibri"/>
        </w:rPr>
        <w:t xml:space="preserve">.  </w:t>
      </w:r>
    </w:p>
    <w:p w:rsidR="00BE1EE1" w:rsidRPr="00440C48" w:rsidRDefault="00BE1EE1" w:rsidP="00BE1EE1">
      <w:pPr>
        <w:autoSpaceDE w:val="0"/>
        <w:autoSpaceDN w:val="0"/>
        <w:rPr>
          <w:rStyle w:val="Network-bodytext"/>
          <w:rFonts w:eastAsia="Calibri"/>
        </w:rPr>
      </w:pPr>
      <w:r w:rsidRPr="00440C48">
        <w:rPr>
          <w:rStyle w:val="Network-bodytext"/>
          <w:rFonts w:eastAsia="Calibri"/>
        </w:rPr>
        <w:t xml:space="preserve">In the model, the regulator forgives noncompliance if it is able to obtain sufficiently strong evidence that the regulated business had exerted a high level of compliance effort.  This evidence takes the form of an additional signal of the business’s effort acquired by the regulator at some cost.  This signal – that is possibly multi-dimensional – represents the results of:  inspections of a business’s records; interviews with its employees; or evaluations of its processes and procedures for achieving compliance.  Collection of such information is a common element of real-world enforcement practices.  </w:t>
      </w:r>
    </w:p>
    <w:p w:rsidR="00BE1EE1" w:rsidRPr="00440C48" w:rsidRDefault="00BE1EE1" w:rsidP="00BE1EE1">
      <w:pPr>
        <w:autoSpaceDE w:val="0"/>
        <w:autoSpaceDN w:val="0"/>
        <w:rPr>
          <w:rStyle w:val="Network-bodytext"/>
          <w:rFonts w:eastAsia="Calibri"/>
        </w:rPr>
      </w:pPr>
      <w:r w:rsidRPr="00440C48">
        <w:rPr>
          <w:rStyle w:val="Network-bodytext"/>
          <w:rFonts w:eastAsia="Calibri"/>
        </w:rPr>
        <w:t xml:space="preserve">The author identifies the key benefit of forgiving noncompliance as a reduction in the probability with which the business needs to be monitored.  The additional signal of the business’s compliance effort, coupled with selective forgiveness, increases the power of the regulator’s penalty scheme.  </w:t>
      </w:r>
    </w:p>
    <w:p w:rsidR="00BE1EE1" w:rsidRPr="00440C48" w:rsidRDefault="00BE1EE1" w:rsidP="00BE1EE1">
      <w:pPr>
        <w:rPr>
          <w:rStyle w:val="Network-bodytext"/>
          <w:rFonts w:eastAsia="Calibri"/>
        </w:rPr>
      </w:pPr>
      <w:r w:rsidRPr="00440C48">
        <w:rPr>
          <w:rStyle w:val="Network-bodytext"/>
          <w:rFonts w:eastAsia="Calibri"/>
        </w:rPr>
        <w:t xml:space="preserve">The article is available by subscription to the </w:t>
      </w:r>
      <w:r w:rsidRPr="00B24DF7">
        <w:rPr>
          <w:rStyle w:val="Network-bodytext"/>
          <w:rFonts w:eastAsia="Calibri"/>
          <w:i/>
        </w:rPr>
        <w:t>Journal of Regulatory Economics</w:t>
      </w:r>
      <w:r w:rsidRPr="00440C48">
        <w:rPr>
          <w:rStyle w:val="Network-bodytext"/>
          <w:rFonts w:eastAsia="Calibri"/>
        </w:rPr>
        <w:t>.</w:t>
      </w:r>
    </w:p>
    <w:p w:rsidR="00BE1EE1" w:rsidRPr="00440C48" w:rsidRDefault="00BE1EE1" w:rsidP="00BE1EE1">
      <w:pPr>
        <w:rPr>
          <w:rStyle w:val="Network-bodytext"/>
          <w:rFonts w:eastAsia="Calibri"/>
        </w:rPr>
      </w:pPr>
      <w:r w:rsidRPr="00B24DF7">
        <w:rPr>
          <w:rStyle w:val="Heading3Char"/>
          <w:rFonts w:hint="eastAsia"/>
        </w:rPr>
        <w:t xml:space="preserve">Electricity </w:t>
      </w:r>
      <w:r w:rsidRPr="00B24DF7">
        <w:rPr>
          <w:rStyle w:val="Heading3Char"/>
        </w:rPr>
        <w:t>T</w:t>
      </w:r>
      <w:r w:rsidRPr="00B24DF7">
        <w:rPr>
          <w:rStyle w:val="Heading3Char"/>
          <w:rFonts w:hint="eastAsia"/>
        </w:rPr>
        <w:t xml:space="preserve">ransmission </w:t>
      </w:r>
      <w:r w:rsidRPr="00B24DF7">
        <w:rPr>
          <w:rStyle w:val="Heading3Char"/>
        </w:rPr>
        <w:t>A</w:t>
      </w:r>
      <w:r w:rsidRPr="00B24DF7">
        <w:rPr>
          <w:rStyle w:val="Heading3Char"/>
          <w:rFonts w:hint="eastAsia"/>
        </w:rPr>
        <w:t xml:space="preserve">rrangements in Great Britain: </w:t>
      </w:r>
      <w:r w:rsidRPr="00B24DF7">
        <w:rPr>
          <w:rStyle w:val="Heading3Char"/>
        </w:rPr>
        <w:t xml:space="preserve"> </w:t>
      </w:r>
      <w:r w:rsidRPr="00B24DF7">
        <w:rPr>
          <w:rStyle w:val="Heading3Char"/>
          <w:rFonts w:hint="eastAsia"/>
        </w:rPr>
        <w:t xml:space="preserve">Time for </w:t>
      </w:r>
      <w:r w:rsidRPr="00B24DF7">
        <w:rPr>
          <w:rStyle w:val="Heading3Char"/>
        </w:rPr>
        <w:t>C</w:t>
      </w:r>
      <w:r w:rsidRPr="00B24DF7">
        <w:rPr>
          <w:rStyle w:val="Heading3Char"/>
          <w:rFonts w:hint="eastAsia"/>
        </w:rPr>
        <w:t>hange?</w:t>
      </w:r>
      <w:r w:rsidRPr="00440C48">
        <w:rPr>
          <w:rStyle w:val="Network-bodytext"/>
          <w:rFonts w:eastAsia="Calibri"/>
        </w:rPr>
        <w:t xml:space="preserve">, G Strbac, M Pollitt, C Konstantinidis, I Konstantelos, R Moreno, D Newbery and R Green, </w:t>
      </w:r>
      <w:r w:rsidRPr="00B24DF7">
        <w:rPr>
          <w:rStyle w:val="Network-bodytext"/>
          <w:rFonts w:eastAsia="Calibri"/>
          <w:i/>
        </w:rPr>
        <w:t>Energy Policy</w:t>
      </w:r>
      <w:r w:rsidRPr="00440C48">
        <w:rPr>
          <w:rStyle w:val="Network-bodytext"/>
          <w:rFonts w:eastAsia="Calibri"/>
        </w:rPr>
        <w:t>, 73, October 2014, pp. 298-311.</w:t>
      </w:r>
    </w:p>
    <w:p w:rsidR="00BE1EE1" w:rsidRPr="00440C48" w:rsidRDefault="00BE1EE1" w:rsidP="00BE1EE1">
      <w:pPr>
        <w:rPr>
          <w:rStyle w:val="Network-bodytext"/>
          <w:rFonts w:eastAsia="Calibri"/>
        </w:rPr>
      </w:pPr>
      <w:r w:rsidRPr="00440C48">
        <w:rPr>
          <w:rStyle w:val="Network-bodytext"/>
          <w:rFonts w:eastAsia="Calibri" w:hint="eastAsia"/>
        </w:rPr>
        <w:t>In Great Britain and across Europe</w:t>
      </w:r>
      <w:r w:rsidRPr="00440C48">
        <w:rPr>
          <w:rStyle w:val="Network-bodytext"/>
          <w:rFonts w:eastAsia="Calibri"/>
        </w:rPr>
        <w:t>,</w:t>
      </w:r>
      <w:r w:rsidRPr="00440C48">
        <w:rPr>
          <w:rStyle w:val="Network-bodytext"/>
          <w:rFonts w:eastAsia="Calibri" w:hint="eastAsia"/>
        </w:rPr>
        <w:t xml:space="preserve"> s</w:t>
      </w:r>
      <w:r w:rsidRPr="00440C48">
        <w:rPr>
          <w:rStyle w:val="Network-bodytext"/>
          <w:rFonts w:eastAsia="Calibri"/>
        </w:rPr>
        <w:t>ubstantial</w:t>
      </w:r>
      <w:r w:rsidRPr="00440C48">
        <w:rPr>
          <w:rStyle w:val="Network-bodytext"/>
          <w:rFonts w:eastAsia="Calibri" w:hint="eastAsia"/>
        </w:rPr>
        <w:t xml:space="preserve"> </w:t>
      </w:r>
      <w:r w:rsidRPr="00440C48">
        <w:rPr>
          <w:rStyle w:val="Network-bodytext"/>
          <w:rFonts w:eastAsia="Calibri"/>
        </w:rPr>
        <w:t xml:space="preserve">capital expenditure </w:t>
      </w:r>
      <w:r w:rsidRPr="00440C48">
        <w:rPr>
          <w:rStyle w:val="Network-bodytext"/>
          <w:rFonts w:eastAsia="Calibri" w:hint="eastAsia"/>
        </w:rPr>
        <w:t xml:space="preserve">in electricity transmission is expected over coming years as </w:t>
      </w:r>
      <w:r w:rsidRPr="00440C48">
        <w:rPr>
          <w:rStyle w:val="Network-bodytext"/>
          <w:rFonts w:eastAsia="Calibri"/>
        </w:rPr>
        <w:t>‘</w:t>
      </w:r>
      <w:r w:rsidRPr="00440C48">
        <w:rPr>
          <w:rStyle w:val="Network-bodytext"/>
          <w:rFonts w:eastAsia="Calibri" w:hint="eastAsia"/>
        </w:rPr>
        <w:t>decarbonisation</w:t>
      </w:r>
      <w:r w:rsidRPr="00440C48">
        <w:rPr>
          <w:rStyle w:val="Network-bodytext"/>
          <w:rFonts w:eastAsia="Calibri"/>
        </w:rPr>
        <w:t>’</w:t>
      </w:r>
      <w:r w:rsidRPr="00440C48">
        <w:rPr>
          <w:rStyle w:val="Network-bodytext"/>
          <w:rFonts w:eastAsia="Calibri" w:hint="eastAsia"/>
        </w:rPr>
        <w:t xml:space="preserve"> and market</w:t>
      </w:r>
      <w:r w:rsidRPr="00440C48">
        <w:rPr>
          <w:rStyle w:val="Network-bodytext"/>
          <w:rFonts w:eastAsia="Calibri"/>
        </w:rPr>
        <w:t>-</w:t>
      </w:r>
      <w:r w:rsidRPr="00440C48">
        <w:rPr>
          <w:rStyle w:val="Network-bodytext"/>
          <w:rFonts w:eastAsia="Calibri" w:hint="eastAsia"/>
        </w:rPr>
        <w:t xml:space="preserve">integration efforts are intensified. </w:t>
      </w:r>
      <w:r w:rsidRPr="00440C48">
        <w:rPr>
          <w:rStyle w:val="Network-bodytext"/>
          <w:rFonts w:eastAsia="Calibri"/>
        </w:rPr>
        <w:t xml:space="preserve"> </w:t>
      </w:r>
      <w:r w:rsidRPr="00440C48">
        <w:rPr>
          <w:rStyle w:val="Network-bodytext"/>
          <w:rFonts w:eastAsia="Calibri" w:hint="eastAsia"/>
        </w:rPr>
        <w:t>However, there is also significant uncertainty with the amount, location and timing of new</w:t>
      </w:r>
      <w:r w:rsidRPr="00440C48">
        <w:rPr>
          <w:rStyle w:val="Network-bodytext"/>
          <w:rFonts w:eastAsia="Calibri"/>
        </w:rPr>
        <w:t>-</w:t>
      </w:r>
      <w:r w:rsidRPr="00440C48">
        <w:rPr>
          <w:rStyle w:val="Network-bodytext"/>
          <w:rFonts w:eastAsia="Calibri" w:hint="eastAsia"/>
        </w:rPr>
        <w:t xml:space="preserve">generation connection, which in turn will </w:t>
      </w:r>
      <w:r w:rsidRPr="00440C48">
        <w:rPr>
          <w:rStyle w:val="Network-bodytext"/>
          <w:rFonts w:eastAsia="Calibri"/>
        </w:rPr>
        <w:t>determin</w:t>
      </w:r>
      <w:r w:rsidRPr="00440C48">
        <w:rPr>
          <w:rStyle w:val="Network-bodytext"/>
          <w:rFonts w:eastAsia="Calibri" w:hint="eastAsia"/>
        </w:rPr>
        <w:t xml:space="preserve">e the </w:t>
      </w:r>
      <w:r w:rsidRPr="00440C48">
        <w:rPr>
          <w:rStyle w:val="Network-bodytext"/>
          <w:rFonts w:eastAsia="Calibri"/>
        </w:rPr>
        <w:t xml:space="preserve">needs for </w:t>
      </w:r>
      <w:r w:rsidRPr="00440C48">
        <w:rPr>
          <w:rStyle w:val="Network-bodytext"/>
          <w:rFonts w:eastAsia="Calibri" w:hint="eastAsia"/>
        </w:rPr>
        <w:t xml:space="preserve">transmission investment. </w:t>
      </w:r>
      <w:r w:rsidRPr="00440C48">
        <w:rPr>
          <w:rStyle w:val="Network-bodytext"/>
          <w:rFonts w:eastAsia="Calibri"/>
        </w:rPr>
        <w:t xml:space="preserve"> This paper reviews whether the current institutional arrangements for system planning and delivery are fit-for-purpose in meeting the identified investment challenges in a timely and efficient manner.  The paper includes a comprehensive reference list.</w:t>
      </w:r>
    </w:p>
    <w:p w:rsidR="00BE1EE1" w:rsidRPr="00440C48" w:rsidRDefault="00BE1EE1" w:rsidP="00BE1EE1">
      <w:pPr>
        <w:rPr>
          <w:rStyle w:val="Network-bodytext"/>
          <w:rFonts w:eastAsia="Calibri"/>
        </w:rPr>
      </w:pPr>
      <w:r w:rsidRPr="00440C48">
        <w:rPr>
          <w:rStyle w:val="Network-bodytext"/>
          <w:rFonts w:eastAsia="Calibri"/>
        </w:rPr>
        <w:t>The authors take as a g</w:t>
      </w:r>
      <w:r w:rsidRPr="00440C48">
        <w:rPr>
          <w:rStyle w:val="Network-bodytext"/>
          <w:rFonts w:eastAsia="Calibri" w:hint="eastAsia"/>
        </w:rPr>
        <w:t xml:space="preserve">iven the absence of efficient market design, </w:t>
      </w:r>
      <w:r w:rsidRPr="00440C48">
        <w:rPr>
          <w:rStyle w:val="Network-bodytext"/>
          <w:rFonts w:eastAsia="Calibri"/>
        </w:rPr>
        <w:t>and</w:t>
      </w:r>
      <w:r w:rsidRPr="00440C48">
        <w:rPr>
          <w:rStyle w:val="Network-bodytext"/>
          <w:rFonts w:eastAsia="Calibri" w:hint="eastAsia"/>
        </w:rPr>
        <w:t xml:space="preserve"> identify three key areas of concern with the current transmission investment arrangements: </w:t>
      </w:r>
      <w:r w:rsidRPr="00440C48">
        <w:rPr>
          <w:rStyle w:val="Network-bodytext"/>
          <w:rFonts w:eastAsia="Calibri"/>
        </w:rPr>
        <w:t xml:space="preserve"> </w:t>
      </w:r>
      <w:r w:rsidRPr="00440C48">
        <w:rPr>
          <w:rStyle w:val="Network-bodytext"/>
          <w:rFonts w:eastAsia="Calibri" w:hint="eastAsia"/>
        </w:rPr>
        <w:t>(i) a misaligned incentives</w:t>
      </w:r>
      <w:r w:rsidRPr="00440C48">
        <w:rPr>
          <w:rStyle w:val="Network-bodytext"/>
          <w:rFonts w:eastAsia="Calibri"/>
        </w:rPr>
        <w:t>-</w:t>
      </w:r>
      <w:r w:rsidRPr="00440C48">
        <w:rPr>
          <w:rStyle w:val="Network-bodytext"/>
          <w:rFonts w:eastAsia="Calibri" w:hint="eastAsia"/>
        </w:rPr>
        <w:t xml:space="preserve">framework for transmission investment and operation; (ii) </w:t>
      </w:r>
      <w:r w:rsidRPr="00440C48">
        <w:rPr>
          <w:rStyle w:val="Network-bodytext"/>
          <w:rFonts w:eastAsia="Calibri"/>
        </w:rPr>
        <w:t xml:space="preserve">a </w:t>
      </w:r>
      <w:r w:rsidRPr="00440C48">
        <w:rPr>
          <w:rStyle w:val="Network-bodytext"/>
          <w:rFonts w:eastAsia="Calibri" w:hint="eastAsia"/>
        </w:rPr>
        <w:t xml:space="preserve">lack of coordination of investment and operation; and (iii) conflicts of interest. </w:t>
      </w:r>
      <w:r w:rsidRPr="00440C48">
        <w:rPr>
          <w:rStyle w:val="Network-bodytext"/>
          <w:rFonts w:eastAsia="Calibri"/>
        </w:rPr>
        <w:t xml:space="preserve"> The authors</w:t>
      </w:r>
      <w:r w:rsidRPr="00440C48">
        <w:rPr>
          <w:rStyle w:val="Network-bodytext"/>
          <w:rFonts w:eastAsia="Calibri" w:hint="eastAsia"/>
        </w:rPr>
        <w:t xml:space="preserve"> propose three options for future evolution of transmission regimes, which cover the full spectrum of institutional arrangements with respect to transmission planning and delivery</w:t>
      </w:r>
      <w:r w:rsidRPr="00440C48">
        <w:rPr>
          <w:rStyle w:val="Network-bodytext"/>
          <w:rFonts w:eastAsia="Calibri"/>
        </w:rPr>
        <w:t xml:space="preserve">.  These are: </w:t>
      </w:r>
      <w:r w:rsidRPr="00440C48">
        <w:rPr>
          <w:rStyle w:val="Network-bodytext"/>
          <w:rFonts w:eastAsia="Calibri" w:hint="eastAsia"/>
        </w:rPr>
        <w:t xml:space="preserve"> how and who plans, owns, builds and operates the transmission system.</w:t>
      </w:r>
      <w:r w:rsidRPr="00440C48">
        <w:rPr>
          <w:rStyle w:val="Network-bodytext"/>
          <w:rFonts w:eastAsia="Calibri"/>
        </w:rPr>
        <w:t xml:space="preserve"> </w:t>
      </w:r>
      <w:r w:rsidRPr="00440C48">
        <w:rPr>
          <w:rStyle w:val="Network-bodytext"/>
          <w:rFonts w:eastAsia="Calibri" w:hint="eastAsia"/>
        </w:rPr>
        <w:t xml:space="preserve"> For each option </w:t>
      </w:r>
      <w:r w:rsidRPr="00440C48">
        <w:rPr>
          <w:rStyle w:val="Network-bodytext"/>
          <w:rFonts w:eastAsia="Calibri"/>
        </w:rPr>
        <w:t>the authors</w:t>
      </w:r>
      <w:r w:rsidRPr="00440C48">
        <w:rPr>
          <w:rStyle w:val="Network-bodytext"/>
          <w:rFonts w:eastAsia="Calibri" w:hint="eastAsia"/>
        </w:rPr>
        <w:t xml:space="preserve"> present: </w:t>
      </w:r>
      <w:r w:rsidRPr="00440C48">
        <w:rPr>
          <w:rStyle w:val="Network-bodytext"/>
          <w:rFonts w:eastAsia="Calibri"/>
        </w:rPr>
        <w:t xml:space="preserve"> </w:t>
      </w:r>
      <w:r w:rsidRPr="00440C48">
        <w:rPr>
          <w:rStyle w:val="Network-bodytext"/>
          <w:rFonts w:eastAsia="Calibri" w:hint="eastAsia"/>
        </w:rPr>
        <w:t xml:space="preserve">key characteristics; evolution of the current regimes; the ability of the </w:t>
      </w:r>
      <w:r w:rsidRPr="00440C48">
        <w:rPr>
          <w:rStyle w:val="Network-bodytext"/>
          <w:rFonts w:eastAsia="Calibri" w:hint="eastAsia"/>
        </w:rPr>
        <w:lastRenderedPageBreak/>
        <w:t>option to address the concerns; and key strengths and weaknesses.</w:t>
      </w:r>
      <w:r w:rsidRPr="00440C48">
        <w:rPr>
          <w:rStyle w:val="Network-bodytext"/>
          <w:rFonts w:eastAsia="Calibri"/>
        </w:rPr>
        <w:t xml:space="preserve"> </w:t>
      </w:r>
      <w:r w:rsidRPr="00440C48">
        <w:rPr>
          <w:rStyle w:val="Network-bodytext"/>
          <w:rFonts w:eastAsia="Calibri" w:hint="eastAsia"/>
        </w:rPr>
        <w:t xml:space="preserve"> Overall, </w:t>
      </w:r>
      <w:r w:rsidRPr="00440C48">
        <w:rPr>
          <w:rStyle w:val="Network-bodytext"/>
          <w:rFonts w:eastAsia="Calibri"/>
        </w:rPr>
        <w:t>the authors</w:t>
      </w:r>
      <w:r w:rsidRPr="00440C48">
        <w:rPr>
          <w:rStyle w:val="Network-bodytext"/>
          <w:rFonts w:eastAsia="Calibri" w:hint="eastAsia"/>
        </w:rPr>
        <w:t xml:space="preserve"> conclude </w:t>
      </w:r>
      <w:r w:rsidRPr="00440C48">
        <w:rPr>
          <w:rStyle w:val="Network-bodytext"/>
          <w:rFonts w:eastAsia="Calibri"/>
        </w:rPr>
        <w:t xml:space="preserve">that, </w:t>
      </w:r>
      <w:r w:rsidRPr="00440C48">
        <w:rPr>
          <w:rStyle w:val="Network-bodytext"/>
          <w:rFonts w:eastAsia="Calibri" w:hint="eastAsia"/>
        </w:rPr>
        <w:t>in the case of G</w:t>
      </w:r>
      <w:r w:rsidRPr="00440C48">
        <w:rPr>
          <w:rStyle w:val="Network-bodytext"/>
          <w:rFonts w:eastAsia="Calibri"/>
        </w:rPr>
        <w:t xml:space="preserve">reat </w:t>
      </w:r>
      <w:r w:rsidRPr="00440C48">
        <w:rPr>
          <w:rStyle w:val="Network-bodytext"/>
          <w:rFonts w:eastAsia="Calibri" w:hint="eastAsia"/>
        </w:rPr>
        <w:t>B</w:t>
      </w:r>
      <w:r w:rsidRPr="00440C48">
        <w:rPr>
          <w:rStyle w:val="Network-bodytext"/>
          <w:rFonts w:eastAsia="Calibri"/>
        </w:rPr>
        <w:t>ritain,</w:t>
      </w:r>
      <w:r w:rsidRPr="00440C48">
        <w:rPr>
          <w:rStyle w:val="Network-bodytext"/>
          <w:rFonts w:eastAsia="Calibri" w:hint="eastAsia"/>
        </w:rPr>
        <w:t xml:space="preserve"> the most appropriate option would be that of an Independent System Operator (ISO) </w:t>
      </w:r>
      <w:r w:rsidRPr="00440C48">
        <w:rPr>
          <w:rStyle w:val="Network-bodytext"/>
          <w:rFonts w:eastAsia="Calibri"/>
        </w:rPr>
        <w:t>that</w:t>
      </w:r>
      <w:r w:rsidRPr="00440C48">
        <w:rPr>
          <w:rStyle w:val="Network-bodytext"/>
          <w:rFonts w:eastAsia="Calibri" w:hint="eastAsia"/>
        </w:rPr>
        <w:t xml:space="preserve"> would be responsible for planning and operating the transmission system. </w:t>
      </w:r>
      <w:r w:rsidRPr="00440C48">
        <w:rPr>
          <w:rStyle w:val="Network-bodytext"/>
          <w:rFonts w:eastAsia="Calibri"/>
        </w:rPr>
        <w:t xml:space="preserve"> T</w:t>
      </w:r>
      <w:r w:rsidRPr="00440C48">
        <w:rPr>
          <w:rStyle w:val="Network-bodytext"/>
          <w:rFonts w:eastAsia="Calibri" w:hint="eastAsia"/>
        </w:rPr>
        <w:t>h</w:t>
      </w:r>
      <w:r w:rsidRPr="00440C48">
        <w:rPr>
          <w:rStyle w:val="Network-bodytext"/>
          <w:rFonts w:eastAsia="Calibri"/>
        </w:rPr>
        <w:t>e authors remark that th</w:t>
      </w:r>
      <w:r w:rsidRPr="00440C48">
        <w:rPr>
          <w:rStyle w:val="Network-bodytext"/>
          <w:rFonts w:eastAsia="Calibri" w:hint="eastAsia"/>
        </w:rPr>
        <w:t>is conclusion could be extended to other European countries</w:t>
      </w:r>
      <w:r w:rsidRPr="00440C48">
        <w:rPr>
          <w:rStyle w:val="Network-bodytext"/>
          <w:rFonts w:eastAsia="Calibri"/>
        </w:rPr>
        <w:t>.</w:t>
      </w:r>
    </w:p>
    <w:p w:rsidR="00BE1EE1" w:rsidRPr="00440C48" w:rsidRDefault="00BE1EE1" w:rsidP="00BE1EE1">
      <w:pPr>
        <w:rPr>
          <w:rStyle w:val="Network-bodytext"/>
          <w:rFonts w:eastAsia="Calibri"/>
        </w:rPr>
      </w:pPr>
      <w:r w:rsidRPr="00440C48">
        <w:rPr>
          <w:rStyle w:val="Network-bodytext"/>
          <w:rFonts w:eastAsia="Calibri"/>
        </w:rPr>
        <w:t xml:space="preserve">The article is available by subscription to </w:t>
      </w:r>
      <w:r w:rsidRPr="00B24DF7">
        <w:rPr>
          <w:rStyle w:val="Network-bodytext"/>
          <w:rFonts w:eastAsia="Calibri"/>
          <w:i/>
        </w:rPr>
        <w:t>Energy Policy</w:t>
      </w:r>
      <w:r w:rsidRPr="00440C48">
        <w:rPr>
          <w:rStyle w:val="Network-bodytext"/>
          <w:rFonts w:eastAsia="Calibri"/>
        </w:rPr>
        <w:t xml:space="preserve">.  </w:t>
      </w:r>
      <w:hyperlink r:id="rId17" w:history="1">
        <w:r w:rsidR="00C56818">
          <w:rPr>
            <w:rStyle w:val="Network-bodytext"/>
            <w:rFonts w:eastAsia="Calibri"/>
            <w:b/>
          </w:rPr>
          <w:t>Access a draft of the article here.</w:t>
        </w:r>
      </w:hyperlink>
    </w:p>
    <w:p w:rsidR="00BE1EE1" w:rsidRPr="00440C48" w:rsidRDefault="00BE1EE1" w:rsidP="00BE1EE1">
      <w:pPr>
        <w:rPr>
          <w:rStyle w:val="Network-bodytext"/>
          <w:rFonts w:eastAsia="Calibri"/>
        </w:rPr>
      </w:pPr>
      <w:r w:rsidRPr="00B24DF7">
        <w:rPr>
          <w:rStyle w:val="Heading3Char"/>
        </w:rPr>
        <w:t>Financial Impacts of Net-Metered PV on Utilities and Ratepayers:  A Scop</w:t>
      </w:r>
      <w:r>
        <w:rPr>
          <w:rStyle w:val="Heading3Char"/>
        </w:rPr>
        <w:t>ing Study of Two Prototypical U</w:t>
      </w:r>
      <w:r w:rsidRPr="00B24DF7">
        <w:rPr>
          <w:rStyle w:val="Heading3Char"/>
        </w:rPr>
        <w:t>S Utilities</w:t>
      </w:r>
      <w:r w:rsidRPr="00440C48">
        <w:rPr>
          <w:rStyle w:val="Network-bodytext"/>
          <w:rFonts w:eastAsia="Calibri"/>
        </w:rPr>
        <w:t>, Andrew Satchwell, Andrew Mills, and Galen Barbose, Prepared for the Office of Energy Efficiency and Renewable Energy Solar Energy Technologies Office U.S. Department of Energy, September 2014.</w:t>
      </w:r>
    </w:p>
    <w:p w:rsidR="00BE1EE1" w:rsidRPr="00440C48" w:rsidRDefault="00BE1EE1" w:rsidP="00BE1EE1">
      <w:pPr>
        <w:pStyle w:val="default0"/>
        <w:spacing w:after="120"/>
        <w:jc w:val="both"/>
        <w:rPr>
          <w:rStyle w:val="Network-bodytext"/>
          <w:rFonts w:eastAsia="Calibri"/>
        </w:rPr>
      </w:pPr>
      <w:r w:rsidRPr="00440C48">
        <w:rPr>
          <w:rStyle w:val="Network-bodytext"/>
          <w:rFonts w:eastAsia="Calibri"/>
        </w:rPr>
        <w:t>This report is about the financial implications for electricity utilities and their residential and commercial customers from the adoption of distributed Photo Voltaic (PV).  This adoption has been driven in part by the prevalence of net metering, a billing arrangement that allows customers to offset their usage with PV generation and receive credits against future usage for excess generation.  Although distributed PV generation currently represents no more than two per cent of the electricity supply in most US states, debates have surfaced about the financial impacts of distributed PV on utilities and their customers.  This work is intended to provide information about the potential magnitude of these impacts, by identifying the key conditions under which they may become more or less severe, and by evaluating possible mitigating strategies.  A financial model based on two prototypical utilities and estimates the possible financial impacts of distributed PV on both utility shareholders and ratepayers. A comprehensive reference list is attached to this report.</w:t>
      </w:r>
    </w:p>
    <w:p w:rsidR="00BE1EE1" w:rsidRPr="00440C48" w:rsidRDefault="00BE1EE1" w:rsidP="00BE1EE1">
      <w:pPr>
        <w:pStyle w:val="default0"/>
        <w:spacing w:after="120"/>
        <w:jc w:val="both"/>
        <w:rPr>
          <w:rStyle w:val="Network-bodytext"/>
          <w:rFonts w:eastAsia="Calibri"/>
        </w:rPr>
      </w:pPr>
      <w:r w:rsidRPr="00440C48">
        <w:rPr>
          <w:rStyle w:val="Network-bodytext"/>
          <w:rFonts w:eastAsia="Calibri"/>
        </w:rPr>
        <w:t xml:space="preserve">The prototypical utilities are a vertically integrated utility in the south-west and a wires-only utility in the north-east.  At PV adoption levels equal to 2.5 per cent of total utility retail sales, Berkeley Lab found in each case that distributed PV resulted in about a four per cent reduction in shareholder earnings.  The impacts on average retail electricity rates were increases of 0.1 and 0.2 per cent, respectively.  The study also includes sensitivity cases with alternative assumptions about the two utilities. </w:t>
      </w:r>
    </w:p>
    <w:p w:rsidR="00BE1EE1" w:rsidRPr="00440C48" w:rsidRDefault="00BE1EE1" w:rsidP="00BE1EE1">
      <w:pPr>
        <w:pStyle w:val="default0"/>
        <w:spacing w:after="120"/>
        <w:jc w:val="both"/>
        <w:rPr>
          <w:rStyle w:val="Network-bodytext"/>
          <w:rFonts w:eastAsia="Calibri"/>
        </w:rPr>
      </w:pPr>
      <w:r w:rsidRPr="00440C48">
        <w:rPr>
          <w:rStyle w:val="Network-bodytext"/>
          <w:rFonts w:eastAsia="Calibri"/>
        </w:rPr>
        <w:t xml:space="preserve">In considering a future in which distributed PV reaches ten per cent of total utility electricity sales, the report estimates that shareholder earnings might be reduced by anywhere from five to 13 per cent for the south-western utility and by six to 41 per cent for the north-eastern utility.  Those ranges reflect alternative assumptions about the utilities’ underlying </w:t>
      </w:r>
      <w:r w:rsidRPr="00440C48">
        <w:rPr>
          <w:rStyle w:val="Network-bodytext"/>
          <w:rFonts w:eastAsia="Calibri"/>
        </w:rPr>
        <w:lastRenderedPageBreak/>
        <w:t>load growth, rate structure, and other factors, and uncertainty about the degree to which distributed PV defers the need for utility capital investments in new generation, transmission, and distribution infrastructure. </w:t>
      </w:r>
    </w:p>
    <w:p w:rsidR="00BE1EE1" w:rsidRPr="00440C48" w:rsidRDefault="00BE1EE1" w:rsidP="00CA74A4">
      <w:pPr>
        <w:pStyle w:val="default0"/>
        <w:spacing w:after="120"/>
        <w:jc w:val="both"/>
        <w:rPr>
          <w:rStyle w:val="Network-bodytext"/>
          <w:rFonts w:eastAsia="Calibri"/>
        </w:rPr>
      </w:pPr>
      <w:r w:rsidRPr="00440C48">
        <w:rPr>
          <w:rStyle w:val="Network-bodytext"/>
          <w:rFonts w:eastAsia="Calibri"/>
        </w:rPr>
        <w:t>A core purpose was to evaluate measures that could be pursued by utilities and regulators to reduce the financial impacts of distributed PV.  The report considered a large number of such measures, including changes to utility rate design and rate-making processes, mechanisms that allow utilities to recoup revenues lost due to distributed PV or to earn profits on distributed PV, and a variety of other strategies.  A number of these measures could restore utility profitability to levels similar to what would occur in the absence of distributed PV, or could offset rate increases associated with distributed PV, or both.  However, the effectiveness of these measures often depends critically on their design, and in many cases, they involve important trade-offs – either between utility ratepayers and shareholders or among competing policy objectives.</w:t>
      </w:r>
      <w:r>
        <w:rPr>
          <w:rStyle w:val="Network-bodytext"/>
          <w:rFonts w:eastAsia="Calibri"/>
        </w:rPr>
        <w:t xml:space="preserve">  </w:t>
      </w:r>
      <w:r w:rsidRPr="00440C48">
        <w:rPr>
          <w:rStyle w:val="Network-bodytext"/>
          <w:rFonts w:eastAsia="Calibri"/>
        </w:rPr>
        <w:t xml:space="preserve">The authors seek to highlight important issues for utilities and regulators to consider distributed PV and net metering. </w:t>
      </w:r>
      <w:r w:rsidR="00CA74A4">
        <w:rPr>
          <w:rStyle w:val="Network-bodytext"/>
          <w:rFonts w:eastAsia="Calibri"/>
        </w:rPr>
        <w:t xml:space="preserve"> </w:t>
      </w:r>
      <w:hyperlink r:id="rId18" w:history="1">
        <w:r w:rsidR="00C56818">
          <w:rPr>
            <w:rStyle w:val="Network-bodytext"/>
            <w:rFonts w:eastAsia="Calibri"/>
            <w:b/>
          </w:rPr>
          <w:t>Access the report here.</w:t>
        </w:r>
      </w:hyperlink>
    </w:p>
    <w:p w:rsidR="00BE1EE1" w:rsidRPr="00440C48" w:rsidRDefault="00BE1EE1" w:rsidP="00BE1EE1">
      <w:pPr>
        <w:rPr>
          <w:rStyle w:val="Network-bodytext"/>
          <w:rFonts w:eastAsia="Calibri"/>
        </w:rPr>
      </w:pPr>
      <w:r w:rsidRPr="001A735B">
        <w:rPr>
          <w:rStyle w:val="Heading3Char"/>
        </w:rPr>
        <w:t>Fixed-to-Mobile Substitution in the European Union</w:t>
      </w:r>
      <w:r w:rsidRPr="00440C48">
        <w:rPr>
          <w:rStyle w:val="Network-bodytext"/>
          <w:rFonts w:eastAsia="Calibri"/>
        </w:rPr>
        <w:t xml:space="preserve">, Lukasz Grzybowski, </w:t>
      </w:r>
      <w:r w:rsidRPr="001A735B">
        <w:rPr>
          <w:rStyle w:val="Network-bodytext"/>
          <w:rFonts w:eastAsia="Calibri"/>
          <w:i/>
        </w:rPr>
        <w:t>Telecommunications Policy</w:t>
      </w:r>
      <w:r w:rsidRPr="00440C48">
        <w:rPr>
          <w:rStyle w:val="Network-bodytext"/>
          <w:rFonts w:eastAsia="Calibri"/>
        </w:rPr>
        <w:t>, 38, 2014, pp. 601-612.</w:t>
      </w:r>
    </w:p>
    <w:p w:rsidR="00BE1EE1" w:rsidRPr="00440C48" w:rsidRDefault="00BE1EE1" w:rsidP="00BE1EE1">
      <w:pPr>
        <w:autoSpaceDE w:val="0"/>
        <w:autoSpaceDN w:val="0"/>
        <w:adjustRightInd w:val="0"/>
        <w:rPr>
          <w:rStyle w:val="Network-bodytext"/>
          <w:rFonts w:eastAsia="Calibri"/>
        </w:rPr>
      </w:pPr>
      <w:r w:rsidRPr="00440C48">
        <w:rPr>
          <w:rStyle w:val="Network-bodytext"/>
          <w:rFonts w:eastAsia="Calibri"/>
        </w:rPr>
        <w:t>This paper is about the substitution between fixed-line and mobile telecommunications (fixed-to-mobile substitution or FMS) in Europe.  The empirical analysis is based on cross-section panel data across 27 European Union (EU) countries in the years 2005 to 2010.  Households are categorised as:  fixed-line only; mobile only; and both fixed-line and mobile.  Explanatory variables include:  fixed-line prices; mobile prices; GDP per capita; availability of bundled offers; penetration of cable; penetration of 3G internet; and overall internet penetration.  There is a short literature review and 21 references are listed.</w:t>
      </w:r>
    </w:p>
    <w:p w:rsidR="00BE1EE1" w:rsidRPr="00440C48" w:rsidRDefault="00BE1EE1" w:rsidP="00BE1EE1">
      <w:pPr>
        <w:autoSpaceDE w:val="0"/>
        <w:autoSpaceDN w:val="0"/>
        <w:adjustRightInd w:val="0"/>
        <w:rPr>
          <w:rStyle w:val="Network-bodytext"/>
          <w:rFonts w:eastAsia="Calibri"/>
        </w:rPr>
      </w:pPr>
      <w:r w:rsidRPr="00440C48">
        <w:rPr>
          <w:rStyle w:val="Network-bodytext"/>
          <w:rFonts w:eastAsia="Calibri"/>
        </w:rPr>
        <w:t>The author, Lukasz Grzybowski, finds that there are big variations in household choice across the 27 member states of the EU.  In particular, the proportion of households with both fixed and mobile connections averages 56 per cent, but varies greatly from just 15 per cent in the Czech Republic to 94 per cent in Sweden.  The proportion of households that are mobile-only ranges from zero to 81 per cent (average 18 per cent); with eastern European countries tending to have much-higher-than-average proportions of mobile-only households.  Fixed-only households are few in number across the EU, with an overall average of only five per cent of households having only a fixed-line service.</w:t>
      </w:r>
    </w:p>
    <w:p w:rsidR="00BE1EE1" w:rsidRPr="00440C48" w:rsidRDefault="00BE1EE1" w:rsidP="00BE1EE1">
      <w:pPr>
        <w:autoSpaceDE w:val="0"/>
        <w:autoSpaceDN w:val="0"/>
        <w:adjustRightInd w:val="0"/>
        <w:rPr>
          <w:rStyle w:val="Network-bodytext"/>
          <w:rFonts w:eastAsia="Calibri"/>
        </w:rPr>
      </w:pPr>
      <w:r w:rsidRPr="00440C48">
        <w:rPr>
          <w:rStyle w:val="Network-bodytext"/>
          <w:rFonts w:eastAsia="Calibri"/>
        </w:rPr>
        <w:lastRenderedPageBreak/>
        <w:t>The main results of the econometric study are the following:</w:t>
      </w:r>
    </w:p>
    <w:p w:rsidR="00BE1EE1" w:rsidRPr="00440C48" w:rsidRDefault="00BE1EE1" w:rsidP="00BE1EE1">
      <w:pPr>
        <w:numPr>
          <w:ilvl w:val="0"/>
          <w:numId w:val="28"/>
        </w:numPr>
        <w:autoSpaceDE w:val="0"/>
        <w:autoSpaceDN w:val="0"/>
        <w:adjustRightInd w:val="0"/>
        <w:spacing w:before="0" w:line="240" w:lineRule="auto"/>
        <w:rPr>
          <w:rStyle w:val="Network-bodytext"/>
          <w:rFonts w:eastAsia="Calibri"/>
        </w:rPr>
      </w:pPr>
      <w:r w:rsidRPr="00440C48">
        <w:rPr>
          <w:rStyle w:val="Network-bodytext"/>
          <w:rFonts w:eastAsia="Calibri"/>
        </w:rPr>
        <w:t xml:space="preserve">There has been a decline in fixed-line connections and an increase in mobile connections over the past few years; indicating an apparent overall fixed-to-mobile substitution.  </w:t>
      </w:r>
    </w:p>
    <w:p w:rsidR="00BE1EE1" w:rsidRPr="00440C48" w:rsidRDefault="00BE1EE1" w:rsidP="00BE1EE1">
      <w:pPr>
        <w:numPr>
          <w:ilvl w:val="0"/>
          <w:numId w:val="28"/>
        </w:numPr>
        <w:autoSpaceDE w:val="0"/>
        <w:autoSpaceDN w:val="0"/>
        <w:adjustRightInd w:val="0"/>
        <w:spacing w:before="0" w:line="240" w:lineRule="auto"/>
        <w:rPr>
          <w:rStyle w:val="Network-bodytext"/>
          <w:rFonts w:eastAsia="Calibri"/>
        </w:rPr>
      </w:pPr>
      <w:r w:rsidRPr="00440C48">
        <w:rPr>
          <w:rStyle w:val="Network-bodytext"/>
          <w:rFonts w:eastAsia="Calibri"/>
        </w:rPr>
        <w:t>Statistically, neither fixed-line nor mobile prices are significant factors in this apparent FMS.</w:t>
      </w:r>
    </w:p>
    <w:p w:rsidR="00BE1EE1" w:rsidRPr="00440C48" w:rsidRDefault="00BE1EE1" w:rsidP="00BE1EE1">
      <w:pPr>
        <w:numPr>
          <w:ilvl w:val="0"/>
          <w:numId w:val="28"/>
        </w:numPr>
        <w:autoSpaceDE w:val="0"/>
        <w:autoSpaceDN w:val="0"/>
        <w:adjustRightInd w:val="0"/>
        <w:spacing w:before="0" w:line="240" w:lineRule="auto"/>
        <w:rPr>
          <w:rStyle w:val="Network-bodytext"/>
          <w:rFonts w:eastAsia="Calibri"/>
        </w:rPr>
      </w:pPr>
      <w:r w:rsidRPr="00440C48">
        <w:rPr>
          <w:rStyle w:val="Network-bodytext"/>
          <w:rFonts w:eastAsia="Calibri"/>
        </w:rPr>
        <w:t>Growth in the internet overall increases the share of fixed-plus-mobile households, and the spread of the internet overall has ‘postponed FMS’.</w:t>
      </w:r>
    </w:p>
    <w:p w:rsidR="00BE1EE1" w:rsidRPr="00440C48" w:rsidRDefault="00BE1EE1" w:rsidP="00BE1EE1">
      <w:pPr>
        <w:numPr>
          <w:ilvl w:val="0"/>
          <w:numId w:val="28"/>
        </w:numPr>
        <w:autoSpaceDE w:val="0"/>
        <w:autoSpaceDN w:val="0"/>
        <w:adjustRightInd w:val="0"/>
        <w:spacing w:before="0" w:line="240" w:lineRule="auto"/>
        <w:rPr>
          <w:rStyle w:val="Network-bodytext"/>
          <w:rFonts w:eastAsia="Calibri"/>
        </w:rPr>
      </w:pPr>
      <w:r w:rsidRPr="00440C48">
        <w:rPr>
          <w:rStyle w:val="Network-bodytext"/>
          <w:rFonts w:eastAsia="Calibri"/>
        </w:rPr>
        <w:t>The spread of 3G and cable decreases the share of fixed-plus-mobile households and increases the share of mobile-only households.</w:t>
      </w:r>
    </w:p>
    <w:p w:rsidR="00BE1EE1" w:rsidRPr="00440C48" w:rsidRDefault="00BE1EE1" w:rsidP="00BE1EE1">
      <w:pPr>
        <w:numPr>
          <w:ilvl w:val="0"/>
          <w:numId w:val="28"/>
        </w:numPr>
        <w:autoSpaceDE w:val="0"/>
        <w:autoSpaceDN w:val="0"/>
        <w:adjustRightInd w:val="0"/>
        <w:spacing w:before="0" w:line="240" w:lineRule="auto"/>
        <w:rPr>
          <w:rStyle w:val="Network-bodytext"/>
          <w:rFonts w:eastAsia="Calibri"/>
        </w:rPr>
      </w:pPr>
      <w:r w:rsidRPr="00440C48">
        <w:rPr>
          <w:rStyle w:val="Network-bodytext"/>
          <w:rFonts w:eastAsia="Calibri"/>
        </w:rPr>
        <w:t>The availability of bundling increases the share of fixed-plus-mobile households and decreases the share of both mobile-only and fixed-only households.</w:t>
      </w:r>
    </w:p>
    <w:p w:rsidR="00BE1EE1" w:rsidRPr="00440C48" w:rsidRDefault="00BE1EE1" w:rsidP="00BE1EE1">
      <w:pPr>
        <w:numPr>
          <w:ilvl w:val="0"/>
          <w:numId w:val="28"/>
        </w:numPr>
        <w:autoSpaceDE w:val="0"/>
        <w:autoSpaceDN w:val="0"/>
        <w:adjustRightInd w:val="0"/>
        <w:spacing w:before="0" w:line="240" w:lineRule="auto"/>
        <w:rPr>
          <w:rStyle w:val="Network-bodytext"/>
          <w:rFonts w:eastAsia="Calibri"/>
        </w:rPr>
      </w:pPr>
      <w:r w:rsidRPr="00440C48">
        <w:rPr>
          <w:rStyle w:val="Network-bodytext"/>
          <w:rFonts w:eastAsia="Calibri"/>
        </w:rPr>
        <w:t xml:space="preserve">Finally, improvements in both the quality and the speed of the internet may result in a decline in copper-based connections.  </w:t>
      </w:r>
    </w:p>
    <w:p w:rsidR="00BE1EE1" w:rsidRPr="00440C48" w:rsidRDefault="00BE1EE1" w:rsidP="00BE1EE1">
      <w:pPr>
        <w:rPr>
          <w:rStyle w:val="Network-bodytext"/>
          <w:rFonts w:eastAsia="Calibri"/>
        </w:rPr>
      </w:pPr>
      <w:r w:rsidRPr="00440C48">
        <w:rPr>
          <w:rStyle w:val="Network-bodytext"/>
          <w:rFonts w:eastAsia="Calibri"/>
        </w:rPr>
        <w:t xml:space="preserve">The article is available by subscription to </w:t>
      </w:r>
      <w:r w:rsidRPr="00003898">
        <w:rPr>
          <w:rStyle w:val="Network-bodytext"/>
          <w:rFonts w:eastAsia="Calibri"/>
          <w:i/>
        </w:rPr>
        <w:t>Telecommunications Policy</w:t>
      </w:r>
      <w:r w:rsidRPr="00440C48">
        <w:rPr>
          <w:rStyle w:val="Network-bodytext"/>
          <w:rFonts w:eastAsia="Calibri"/>
        </w:rPr>
        <w:t>.</w:t>
      </w:r>
    </w:p>
    <w:p w:rsidR="00BE1EE1" w:rsidRPr="00440C48" w:rsidRDefault="00BE1EE1" w:rsidP="00BE1EE1">
      <w:pPr>
        <w:rPr>
          <w:rStyle w:val="Network-bodytext"/>
          <w:rFonts w:eastAsia="Calibri"/>
        </w:rPr>
      </w:pPr>
      <w:r w:rsidRPr="00003898">
        <w:rPr>
          <w:rStyle w:val="Heading3Char"/>
        </w:rPr>
        <w:t>Regulating a Monopoly with Universal Service Obligations:  The Role of Flexible Tariff Schemes</w:t>
      </w:r>
      <w:r w:rsidRPr="00440C48">
        <w:rPr>
          <w:rStyle w:val="Network-bodytext"/>
          <w:rFonts w:eastAsia="Calibri"/>
        </w:rPr>
        <w:t xml:space="preserve">, M Willington and J Li Ning, </w:t>
      </w:r>
      <w:r w:rsidRPr="00003898">
        <w:rPr>
          <w:rStyle w:val="Network-bodytext"/>
          <w:rFonts w:eastAsia="Calibri"/>
          <w:i/>
        </w:rPr>
        <w:t>Telecommunications Policy</w:t>
      </w:r>
      <w:r w:rsidRPr="00440C48">
        <w:rPr>
          <w:rStyle w:val="Network-bodytext"/>
          <w:rFonts w:eastAsia="Calibri"/>
        </w:rPr>
        <w:t>, 38, 1, February 2014, pp. 32-48.</w:t>
      </w:r>
    </w:p>
    <w:p w:rsidR="00BE1EE1" w:rsidRPr="00440C48" w:rsidRDefault="00BE1EE1" w:rsidP="00BE1EE1">
      <w:pPr>
        <w:autoSpaceDE w:val="0"/>
        <w:autoSpaceDN w:val="0"/>
        <w:adjustRightInd w:val="0"/>
        <w:rPr>
          <w:rStyle w:val="Network-bodytext"/>
          <w:rFonts w:eastAsia="Calibri"/>
        </w:rPr>
      </w:pPr>
      <w:r w:rsidRPr="00440C48">
        <w:rPr>
          <w:rStyle w:val="Network-bodytext"/>
          <w:rFonts w:eastAsia="Calibri"/>
        </w:rPr>
        <w:t>This is primarily a theoretical article about regulation of a monopoly telecommunications provider with a universal service obligation (USO) that guarantees ‘all consumers [have] equal access to the service at a reasonable cost’.  The paper contains a theoretical analysis (including in a long technical appendix) and also features verbal explanations of the approach and results.  The authors list seventeen references.</w:t>
      </w:r>
    </w:p>
    <w:p w:rsidR="00BE1EE1" w:rsidRPr="00440C48" w:rsidRDefault="00BE1EE1" w:rsidP="00BE1EE1">
      <w:pPr>
        <w:autoSpaceDE w:val="0"/>
        <w:autoSpaceDN w:val="0"/>
        <w:adjustRightInd w:val="0"/>
        <w:rPr>
          <w:rStyle w:val="Network-bodytext"/>
          <w:rFonts w:eastAsia="Calibri"/>
        </w:rPr>
      </w:pPr>
      <w:r w:rsidRPr="00440C48">
        <w:rPr>
          <w:rStyle w:val="Network-bodytext"/>
          <w:rFonts w:eastAsia="Calibri"/>
        </w:rPr>
        <w:t>The authors envisage two types of situation.  First, there is the rural dimension where networks are underdeveloped and involve higher costs than in urban areas.  Second, there is the situation where services are available, but low-income consumers are unwilling to pay the price required to access the service.  The paper is particularly about how two-part tariff arrangements can be used in achieving USO goals.  There are three scenarios:  first, the monopolist is forced to offer a single regulated two-part tariff; second, multiple tariffs can be offered provided all of the tariffs (including the regulated two-part tariff) are available to all consumers; and third, multiple tariffs can be offered, but only the regulated two-part tariff must be available to all consumers.</w:t>
      </w:r>
    </w:p>
    <w:p w:rsidR="00BE1EE1" w:rsidRPr="00440C48" w:rsidRDefault="00BE1EE1" w:rsidP="00BE1EE1">
      <w:pPr>
        <w:rPr>
          <w:rStyle w:val="Network-bodytext"/>
          <w:rFonts w:eastAsia="Calibri"/>
        </w:rPr>
      </w:pPr>
      <w:r w:rsidRPr="00440C48">
        <w:rPr>
          <w:rStyle w:val="Network-bodytext"/>
          <w:rFonts w:eastAsia="Calibri"/>
        </w:rPr>
        <w:lastRenderedPageBreak/>
        <w:t xml:space="preserve">The article is available by subscription to </w:t>
      </w:r>
      <w:r w:rsidRPr="00003898">
        <w:rPr>
          <w:rStyle w:val="Network-bodytext"/>
          <w:rFonts w:eastAsia="Calibri"/>
          <w:i/>
        </w:rPr>
        <w:t>Telecommunications Policy</w:t>
      </w:r>
      <w:r w:rsidRPr="00440C48">
        <w:rPr>
          <w:rStyle w:val="Network-bodytext"/>
          <w:rFonts w:eastAsia="Calibri"/>
        </w:rPr>
        <w:t>.</w:t>
      </w:r>
    </w:p>
    <w:p w:rsidR="00BE1EE1" w:rsidRPr="00440C48" w:rsidRDefault="00BE1EE1" w:rsidP="00BE1EE1">
      <w:pPr>
        <w:rPr>
          <w:rStyle w:val="Network-bodytext"/>
          <w:rFonts w:eastAsia="Calibri"/>
        </w:rPr>
      </w:pPr>
      <w:r w:rsidRPr="00003898">
        <w:rPr>
          <w:rStyle w:val="Heading3Char"/>
        </w:rPr>
        <w:t>Improving Economic Regulation of Urban Water</w:t>
      </w:r>
      <w:r w:rsidRPr="00440C48">
        <w:rPr>
          <w:rStyle w:val="Network-bodytext"/>
          <w:rFonts w:eastAsia="Calibri"/>
        </w:rPr>
        <w:t>, Frontier Economics, Report Prepared for the Water Services Association of Australia, August 2014.</w:t>
      </w:r>
    </w:p>
    <w:p w:rsidR="00BE1EE1" w:rsidRPr="00440C48" w:rsidRDefault="00BE1EE1" w:rsidP="00BE1EE1">
      <w:pPr>
        <w:rPr>
          <w:rStyle w:val="Network-bodytext"/>
          <w:rFonts w:eastAsia="Calibri"/>
        </w:rPr>
      </w:pPr>
      <w:r w:rsidRPr="00440C48">
        <w:rPr>
          <w:rStyle w:val="Network-bodytext"/>
          <w:rFonts w:eastAsia="Calibri"/>
        </w:rPr>
        <w:t>According to this report, current arrangements for the economic regulation of the urban water industry in Australia have some significant shortcomings when compared to best-practice.  Frontier Economics argues that the most fundamental problems are:  the lack of independent economic regulation in some jurisdictions; unclear or conflicting objectives given to regulators; and inadequate rights of review of regulatory decisions.  It further argues that these attributes undermine the certainty needed for long-term planning; and also mean that current arrangements ‘are not sufficiently robust to support more extensive private sector involvement’.  The report is 162 pages in length (including content pages, introductory material, reference lists, etcetera) and has 77 references (mainly to regulators’ publications and the professional literature).</w:t>
      </w:r>
    </w:p>
    <w:p w:rsidR="00BE1EE1" w:rsidRPr="00440C48" w:rsidRDefault="00BE1EE1" w:rsidP="00BE1EE1">
      <w:pPr>
        <w:rPr>
          <w:rStyle w:val="Network-bodytext"/>
          <w:rFonts w:eastAsia="Calibri"/>
        </w:rPr>
      </w:pPr>
      <w:r w:rsidRPr="00440C48">
        <w:rPr>
          <w:rStyle w:val="Network-bodytext"/>
          <w:rFonts w:eastAsia="Calibri"/>
        </w:rPr>
        <w:t>Frontier Economics argues that there is no ‘silver bullet’ regulatory approach to achieve the underlying objectives of economic regulation while simultaneously minimising compliance and other costs.  As there are likely to be trade-offs, the best approach will depend on views on these trade-offs, and on the particular circumstances applying in specific jurisdictions.</w:t>
      </w:r>
    </w:p>
    <w:p w:rsidR="00BE1EE1" w:rsidRPr="00440C48" w:rsidRDefault="00BE1EE1" w:rsidP="00BE1EE1">
      <w:pPr>
        <w:rPr>
          <w:rStyle w:val="Network-bodytext"/>
          <w:rFonts w:eastAsia="Calibri"/>
        </w:rPr>
      </w:pPr>
      <w:r w:rsidRPr="00440C48">
        <w:rPr>
          <w:rStyle w:val="Network-bodytext"/>
          <w:rFonts w:eastAsia="Calibri"/>
        </w:rPr>
        <w:t>The report makes specific suggestions to improve on current arrangements:  establishing the role of economic regulators as genuinely independent decision-makers with powers to make binding determinations; less prescription (water businesses are best-placed to understand customers’ needs and demands, and economic regulators should not impose inflexible arrangements, especially as competition emerges); reducing unnecessary regulatory burden; providing more high-powered incentives (information asymmetry faced by economic regulators is likely to be best addressed through designing incentives for regulated businesses to act appropriately based on their knowledge rather than regulators seeking more and more detailed information); and strengthening accountability (particularly by clarifying regulatory objectives and providing for independent review of regulator’s decisions).</w:t>
      </w:r>
    </w:p>
    <w:p w:rsidR="00BE1EE1" w:rsidRPr="00440C48" w:rsidRDefault="00BE1EE1" w:rsidP="00BE1EE1">
      <w:pPr>
        <w:rPr>
          <w:rStyle w:val="Network-bodytext"/>
          <w:rFonts w:eastAsia="Calibri"/>
        </w:rPr>
      </w:pPr>
      <w:r w:rsidRPr="00440C48">
        <w:rPr>
          <w:rStyle w:val="Network-bodytext"/>
          <w:rFonts w:eastAsia="Calibri"/>
        </w:rPr>
        <w:t xml:space="preserve">The report also sees a need to re-focus on the appropriate role of economic regulation relative to policy formulation, service provision, and governance </w:t>
      </w:r>
      <w:r w:rsidRPr="00440C48">
        <w:rPr>
          <w:rStyle w:val="Network-bodytext"/>
          <w:rFonts w:eastAsia="Calibri"/>
        </w:rPr>
        <w:lastRenderedPageBreak/>
        <w:t>(in particular the shareholder role).</w:t>
      </w:r>
      <w:r w:rsidR="00CA74A4">
        <w:rPr>
          <w:rStyle w:val="Network-bodytext"/>
          <w:rFonts w:eastAsia="Calibri"/>
        </w:rPr>
        <w:t xml:space="preserve"> </w:t>
      </w:r>
      <w:hyperlink r:id="rId19" w:history="1">
        <w:r w:rsidR="005303D6">
          <w:rPr>
            <w:rStyle w:val="Network-bodytext"/>
            <w:rFonts w:eastAsia="Calibri"/>
            <w:b/>
          </w:rPr>
          <w:t>Click here for the WSAA Report</w:t>
        </w:r>
      </w:hyperlink>
      <w:r w:rsidRPr="00440C48">
        <w:rPr>
          <w:rStyle w:val="Network-bodytext"/>
          <w:rFonts w:eastAsia="Calibri"/>
        </w:rPr>
        <w:t xml:space="preserve"> </w:t>
      </w:r>
    </w:p>
    <w:p w:rsidR="00BE1EE1" w:rsidRPr="00440C48" w:rsidRDefault="00BE1EE1" w:rsidP="00BE1EE1">
      <w:pPr>
        <w:rPr>
          <w:rStyle w:val="Network-bodytext"/>
          <w:rFonts w:eastAsia="Calibri"/>
        </w:rPr>
      </w:pPr>
      <w:r w:rsidRPr="004D66CE">
        <w:rPr>
          <w:rStyle w:val="Heading3Char"/>
        </w:rPr>
        <w:t>Regulating Railways</w:t>
      </w:r>
      <w:r w:rsidRPr="00440C48">
        <w:rPr>
          <w:rStyle w:val="Network-bodytext"/>
          <w:rFonts w:eastAsia="Calibri"/>
        </w:rPr>
        <w:t xml:space="preserve">, </w:t>
      </w:r>
      <w:r w:rsidRPr="004D66CE">
        <w:rPr>
          <w:rStyle w:val="Network-bodytext"/>
          <w:rFonts w:eastAsia="Calibri"/>
          <w:i/>
        </w:rPr>
        <w:t>Network Industries Quarterly</w:t>
      </w:r>
      <w:r w:rsidRPr="00440C48">
        <w:rPr>
          <w:rStyle w:val="Network-bodytext"/>
          <w:rFonts w:eastAsia="Calibri"/>
        </w:rPr>
        <w:t xml:space="preserve">, 16, 2, 2014.  Issued jointly by the Chair Management of Network Industries, </w:t>
      </w:r>
      <w:r w:rsidRPr="004D66CE">
        <w:rPr>
          <w:rStyle w:val="Network-bodytext"/>
          <w:rFonts w:eastAsia="Calibri"/>
          <w:i/>
        </w:rPr>
        <w:t>Ecole Polytechnique Fédérale de Lausanne</w:t>
      </w:r>
      <w:r w:rsidRPr="00440C48">
        <w:rPr>
          <w:rStyle w:val="Network-bodytext"/>
          <w:rFonts w:eastAsia="Calibri"/>
        </w:rPr>
        <w:t xml:space="preserve"> and the Florence School of Regulation Transport speciality.</w:t>
      </w:r>
    </w:p>
    <w:p w:rsidR="00BE1EE1" w:rsidRPr="00440C48" w:rsidRDefault="00BE1EE1" w:rsidP="00BE1EE1">
      <w:pPr>
        <w:rPr>
          <w:rStyle w:val="Network-bodytext"/>
          <w:rFonts w:eastAsia="Calibri"/>
        </w:rPr>
      </w:pPr>
      <w:r w:rsidRPr="00440C48">
        <w:rPr>
          <w:rStyle w:val="Network-bodytext"/>
          <w:rFonts w:eastAsia="Calibri"/>
        </w:rPr>
        <w:t xml:space="preserve">This issue of the </w:t>
      </w:r>
      <w:r w:rsidRPr="004D66CE">
        <w:rPr>
          <w:rStyle w:val="Network-bodytext"/>
          <w:rFonts w:eastAsia="Calibri"/>
          <w:i/>
        </w:rPr>
        <w:t>Network Industries Quarterly</w:t>
      </w:r>
      <w:r w:rsidRPr="00440C48">
        <w:rPr>
          <w:rStyle w:val="Network-bodytext"/>
          <w:rFonts w:eastAsia="Calibri"/>
        </w:rPr>
        <w:t xml:space="preserve"> looks at different aspects of rail regulation with examples drawn from inside and outside the European Union.  As in other network industries, the rail subsector in Europe is in a process of organisational restructuring that involves different forms of liberalisation, deregulation and reregulation.  In this process many approaches to railway regulation are reassessed.  Achieving better and more cost-efficient rail services for transport of freight and passengers is a commonly shared goal, but there are different opinions on the right policies to achieve this goal.  </w:t>
      </w:r>
    </w:p>
    <w:p w:rsidR="00BE1EE1" w:rsidRPr="00440C48" w:rsidRDefault="00BE1EE1" w:rsidP="00BE1EE1">
      <w:pPr>
        <w:rPr>
          <w:rStyle w:val="Network-bodytext"/>
          <w:rFonts w:eastAsia="Calibri"/>
        </w:rPr>
      </w:pPr>
      <w:r w:rsidRPr="00440C48">
        <w:rPr>
          <w:rStyle w:val="Network-bodytext"/>
          <w:rFonts w:eastAsia="Calibri"/>
        </w:rPr>
        <w:t xml:space="preserve">The five papers in this issue of </w:t>
      </w:r>
      <w:r w:rsidRPr="004D66CE">
        <w:rPr>
          <w:rStyle w:val="Network-bodytext"/>
          <w:rFonts w:eastAsia="Calibri"/>
          <w:i/>
        </w:rPr>
        <w:t>Network Industries Quarterly</w:t>
      </w:r>
      <w:r w:rsidRPr="00440C48">
        <w:rPr>
          <w:rStyle w:val="Network-bodytext"/>
          <w:rFonts w:eastAsia="Calibri"/>
        </w:rPr>
        <w:t xml:space="preserve"> are:</w:t>
      </w:r>
    </w:p>
    <w:p w:rsidR="00BE1EE1" w:rsidRPr="00440C48" w:rsidRDefault="00BE1EE1" w:rsidP="00BE1EE1">
      <w:pPr>
        <w:numPr>
          <w:ilvl w:val="0"/>
          <w:numId w:val="29"/>
        </w:numPr>
        <w:spacing w:before="0" w:line="240" w:lineRule="auto"/>
        <w:rPr>
          <w:rStyle w:val="Network-bodytext"/>
          <w:rFonts w:eastAsia="Calibri"/>
        </w:rPr>
      </w:pPr>
      <w:r w:rsidRPr="00440C48">
        <w:rPr>
          <w:rStyle w:val="Network-bodytext"/>
          <w:rFonts w:eastAsia="Calibri"/>
        </w:rPr>
        <w:t>‘The Reform of Passenger Rail in Switzerland: More Performance</w:t>
      </w:r>
      <w:r w:rsidR="009A0644">
        <w:rPr>
          <w:rStyle w:val="Network-bodytext"/>
          <w:rFonts w:eastAsia="Calibri"/>
        </w:rPr>
        <w:t xml:space="preserve"> without Competition?’ (Christi</w:t>
      </w:r>
      <w:r w:rsidRPr="00440C48">
        <w:rPr>
          <w:rStyle w:val="Network-bodytext"/>
          <w:rFonts w:eastAsia="Calibri"/>
        </w:rPr>
        <w:t>an Desmaris)</w:t>
      </w:r>
    </w:p>
    <w:p w:rsidR="00BE1EE1" w:rsidRPr="00440C48" w:rsidRDefault="00BE1EE1" w:rsidP="00BE1EE1">
      <w:pPr>
        <w:numPr>
          <w:ilvl w:val="0"/>
          <w:numId w:val="29"/>
        </w:numPr>
        <w:spacing w:before="0" w:line="240" w:lineRule="auto"/>
        <w:rPr>
          <w:rStyle w:val="Network-bodytext"/>
          <w:rFonts w:eastAsia="Calibri"/>
        </w:rPr>
      </w:pPr>
      <w:r w:rsidRPr="00440C48">
        <w:rPr>
          <w:rStyle w:val="Network-bodytext"/>
          <w:rFonts w:eastAsia="Calibri"/>
        </w:rPr>
        <w:t>‘Current Regulatory Challenges in Access to the Rail Infrastructure in Poland’ (Izabela Kuligowska)</w:t>
      </w:r>
    </w:p>
    <w:p w:rsidR="00BE1EE1" w:rsidRPr="00440C48" w:rsidRDefault="00BE1EE1" w:rsidP="00BE1EE1">
      <w:pPr>
        <w:numPr>
          <w:ilvl w:val="0"/>
          <w:numId w:val="29"/>
        </w:numPr>
        <w:spacing w:before="0" w:line="240" w:lineRule="auto"/>
        <w:rPr>
          <w:rStyle w:val="Network-bodytext"/>
          <w:rFonts w:eastAsia="Calibri"/>
        </w:rPr>
      </w:pPr>
      <w:r w:rsidRPr="00440C48">
        <w:rPr>
          <w:rStyle w:val="Network-bodytext"/>
          <w:rFonts w:eastAsia="Calibri"/>
        </w:rPr>
        <w:t>‘Methods for Saturation Modelling of Railway Lines:  The Case of High-Speed Line Paris-Lyon’ (Florent Laroche)</w:t>
      </w:r>
    </w:p>
    <w:p w:rsidR="00BE1EE1" w:rsidRPr="00440C48" w:rsidRDefault="00BE1EE1" w:rsidP="00BE1EE1">
      <w:pPr>
        <w:numPr>
          <w:ilvl w:val="0"/>
          <w:numId w:val="29"/>
        </w:numPr>
        <w:spacing w:before="0" w:line="240" w:lineRule="auto"/>
        <w:rPr>
          <w:rStyle w:val="Network-bodytext"/>
          <w:rFonts w:eastAsia="Calibri"/>
        </w:rPr>
      </w:pPr>
      <w:r w:rsidRPr="00440C48">
        <w:rPr>
          <w:rStyle w:val="Network-bodytext"/>
          <w:rFonts w:eastAsia="Calibri"/>
        </w:rPr>
        <w:t>‘Vertical Separation in Rail Transport:  How Do Prices Influence Coordination?’ (Miguel Amaral and Jean-Christophe Thiebaud)</w:t>
      </w:r>
    </w:p>
    <w:p w:rsidR="00BE1EE1" w:rsidRPr="00440C48" w:rsidRDefault="00BE1EE1" w:rsidP="00BE1EE1">
      <w:pPr>
        <w:numPr>
          <w:ilvl w:val="0"/>
          <w:numId w:val="29"/>
        </w:numPr>
        <w:spacing w:before="0" w:line="240" w:lineRule="auto"/>
        <w:rPr>
          <w:rStyle w:val="Network-bodytext"/>
          <w:rFonts w:eastAsia="Calibri"/>
        </w:rPr>
      </w:pPr>
      <w:r w:rsidRPr="00440C48">
        <w:rPr>
          <w:rStyle w:val="Network-bodytext"/>
          <w:rFonts w:eastAsia="Calibri"/>
        </w:rPr>
        <w:t>‘Capacity Pricing Schemes to Implement Open-access Rail in Tanzania (Maite Peña-Alcaraz, Ignacio Perez-Arriaga and Joseph M Sussman)</w:t>
      </w:r>
    </w:p>
    <w:p w:rsidR="00EA0064" w:rsidRPr="00EA0064" w:rsidRDefault="00233FD8" w:rsidP="00EA0064">
      <w:pPr>
        <w:rPr>
          <w:b/>
          <w:color w:val="595959"/>
        </w:rPr>
      </w:pPr>
      <w:hyperlink r:id="rId20" w:history="1">
        <w:r w:rsidR="00EA0064" w:rsidRPr="00EA0064">
          <w:rPr>
            <w:rStyle w:val="Hyperlink"/>
            <w:b/>
            <w:color w:val="595959"/>
            <w:u w:val="none"/>
          </w:rPr>
          <w:t>Regulating Railways in NIQ available here.</w:t>
        </w:r>
      </w:hyperlink>
      <w:r w:rsidR="00EA0064" w:rsidRPr="00EA0064">
        <w:rPr>
          <w:b/>
          <w:color w:val="595959"/>
        </w:rPr>
        <w:t xml:space="preserve"> </w:t>
      </w:r>
    </w:p>
    <w:p w:rsidR="00BE1EE1" w:rsidRPr="00440C48" w:rsidRDefault="00BE1EE1" w:rsidP="00BE1EE1">
      <w:pPr>
        <w:rPr>
          <w:rStyle w:val="Network-bodytext"/>
          <w:rFonts w:eastAsia="Calibri"/>
        </w:rPr>
      </w:pPr>
      <w:r w:rsidRPr="004D66CE">
        <w:rPr>
          <w:rStyle w:val="Heading3Char"/>
        </w:rPr>
        <w:t>Determining the Weighted Average Cost of Capital of Airports in an Evolving French Regulatory Environment</w:t>
      </w:r>
      <w:r w:rsidRPr="00440C48">
        <w:rPr>
          <w:rStyle w:val="Network-bodytext"/>
          <w:rFonts w:eastAsia="Calibri"/>
        </w:rPr>
        <w:t>, Jeanne Lubek and Stéphane Wakeford, NERA Insight in Economics, 18 September 2014.</w:t>
      </w:r>
    </w:p>
    <w:p w:rsidR="00BE1EE1" w:rsidRPr="00440C48" w:rsidRDefault="00BE1EE1" w:rsidP="00BE1EE1">
      <w:pPr>
        <w:rPr>
          <w:rStyle w:val="Network-bodytext"/>
          <w:rFonts w:eastAsia="Calibri"/>
        </w:rPr>
      </w:pPr>
      <w:r w:rsidRPr="00440C48">
        <w:rPr>
          <w:rStyle w:val="Network-bodytext"/>
          <w:rFonts w:eastAsia="Calibri"/>
        </w:rPr>
        <w:t xml:space="preserve">This NERA ‘Insight in Economics’ paper is about economic regulation of airports in France, with particular reference to the weighted average cost of capital (WACC).  It suggests incremental changes to the current regulation towards more economic-based standards that would benefit both airport users and operators.  In particular, the suggested changes would prevent the French price-cap regulation from becoming like a disguised rate-of-return regulation, of </w:t>
      </w:r>
      <w:r w:rsidRPr="00440C48">
        <w:rPr>
          <w:rStyle w:val="Network-bodytext"/>
          <w:rFonts w:eastAsia="Calibri"/>
        </w:rPr>
        <w:lastRenderedPageBreak/>
        <w:t>which the negative effects have been widely documented (most notably, the Averch-Johnson effect regarding the tendency of rate-of-return regulation to result in overinvestment).  The article is written by Jeanne Lubek and Stéphane Wakeford.  It contains detailed information about the regulatory approach to airports in France and makes reference to key articles.</w:t>
      </w:r>
    </w:p>
    <w:p w:rsidR="00BE1EE1" w:rsidRPr="00440C48" w:rsidRDefault="00BE1EE1" w:rsidP="00BE1EE1">
      <w:pPr>
        <w:rPr>
          <w:rStyle w:val="Network-bodytext"/>
          <w:rFonts w:eastAsia="Calibri"/>
        </w:rPr>
      </w:pPr>
      <w:r w:rsidRPr="00440C48">
        <w:rPr>
          <w:rStyle w:val="Network-bodytext"/>
          <w:rFonts w:eastAsia="Calibri"/>
        </w:rPr>
        <w:t xml:space="preserve">The WACC is central to French airport price-cap regulation.  However, French regulation does not specify the key parameters and methodologies used to determine the WACC.  This results in differing appreciations of the correct cost of capital to be used to determine the evolution of airport charges. </w:t>
      </w:r>
    </w:p>
    <w:p w:rsidR="00BE1EE1" w:rsidRPr="00440C48" w:rsidRDefault="00BE1EE1" w:rsidP="00BE1EE1">
      <w:pPr>
        <w:rPr>
          <w:rStyle w:val="Network-bodytext"/>
          <w:rFonts w:eastAsia="Calibri"/>
        </w:rPr>
      </w:pPr>
      <w:r w:rsidRPr="00440C48">
        <w:rPr>
          <w:rStyle w:val="Network-bodytext"/>
          <w:rFonts w:eastAsia="Calibri"/>
        </w:rPr>
        <w:t xml:space="preserve">The authors argue that, in the context of the privatisation of French regional airports, regulatory uncertainty about the WACC is problematic because the state acts both as a regulator and as a shareholder.  This undermines the confidence of airlines in the current regulatory framework.  Furthermore, in their view, the lack of predictability of the price-setting mechanism places a burden on potential buyers of French airports in the form of regulatory risk regarding the next price-control periods. </w:t>
      </w:r>
      <w:r w:rsidR="00CA74A4">
        <w:rPr>
          <w:rStyle w:val="Network-bodytext"/>
          <w:rFonts w:eastAsia="Calibri"/>
        </w:rPr>
        <w:t xml:space="preserve"> </w:t>
      </w:r>
      <w:hyperlink r:id="rId21" w:history="1">
        <w:r w:rsidR="004E365F">
          <w:rPr>
            <w:rStyle w:val="Network-bodytext"/>
            <w:rFonts w:eastAsia="Calibri"/>
            <w:b/>
          </w:rPr>
          <w:t>Access the article here</w:t>
        </w:r>
      </w:hyperlink>
    </w:p>
    <w:p w:rsidR="00BE1EE1" w:rsidRPr="00440C48" w:rsidRDefault="00BE1EE1" w:rsidP="00BE1EE1">
      <w:pPr>
        <w:rPr>
          <w:rStyle w:val="Network-bodytext"/>
          <w:rFonts w:eastAsia="Calibri"/>
        </w:rPr>
      </w:pPr>
      <w:r w:rsidRPr="004D66CE">
        <w:rPr>
          <w:rStyle w:val="Heading3Char"/>
        </w:rPr>
        <w:t>The Debt Maturity Issue in Access Pricing</w:t>
      </w:r>
      <w:r w:rsidRPr="00440C48">
        <w:rPr>
          <w:rStyle w:val="Network-bodytext"/>
          <w:rFonts w:eastAsia="Calibri"/>
        </w:rPr>
        <w:t xml:space="preserve">, Kevin Davis, </w:t>
      </w:r>
      <w:r w:rsidRPr="004D66CE">
        <w:rPr>
          <w:rStyle w:val="Network-bodytext"/>
          <w:rFonts w:eastAsia="Calibri"/>
          <w:i/>
        </w:rPr>
        <w:t>Economic Record</w:t>
      </w:r>
      <w:r w:rsidRPr="00440C48">
        <w:rPr>
          <w:rStyle w:val="Network-bodytext"/>
          <w:rFonts w:eastAsia="Calibri"/>
        </w:rPr>
        <w:t>, 90, 290, September 2014, pp. 271-281.</w:t>
      </w:r>
    </w:p>
    <w:p w:rsidR="00BE1EE1" w:rsidRPr="00440C48" w:rsidRDefault="00BE1EE1" w:rsidP="00BE1EE1">
      <w:pPr>
        <w:rPr>
          <w:rStyle w:val="Network-bodytext"/>
          <w:rFonts w:eastAsia="Calibri"/>
        </w:rPr>
      </w:pPr>
      <w:r w:rsidRPr="00440C48">
        <w:rPr>
          <w:rStyle w:val="Network-bodytext"/>
          <w:rFonts w:eastAsia="Calibri"/>
        </w:rPr>
        <w:t>This article is about the appropriate debt maturity to be used in determining the cost of debt for use in access pricing decisions.  Some regulators have used a debt maturity corresponding to the length of the regulatory reset period, typically five years.  Other regulatory bodies have used a longer maturity based on the longer lives of the assets being financed.  In this article Kevin Davis contends that, in order to meet the legislative objectives of access pricing, the debt maturity should be set equal to the regulatory reset period.  An alternative approach, which places more emphasis on an access provider’s actual debt costs, is also considered.  The article has the following headings:  introduction; approaches to debt maturity in access pricing regulation; the model; implications and intuition; caveats and complications; and conclusion.  It contains nineteen references covering academic articles (including by Martin Lally and Bruce Grundy) and publications by regulatory bodies (including the Australian Energy Regulator, the Ontario Energy Board and the Queensland Competition Authority).</w:t>
      </w:r>
    </w:p>
    <w:p w:rsidR="00E66994" w:rsidRPr="00EE6582" w:rsidRDefault="00BE1EE1" w:rsidP="00BE1EE1">
      <w:pPr>
        <w:rPr>
          <w:rFonts w:cs="Arial"/>
          <w:color w:val="595959"/>
        </w:rPr>
      </w:pPr>
      <w:r w:rsidRPr="00440C48">
        <w:rPr>
          <w:rStyle w:val="Network-bodytext"/>
          <w:rFonts w:eastAsia="Calibri"/>
        </w:rPr>
        <w:t xml:space="preserve">The article is available by subscription to the </w:t>
      </w:r>
      <w:r w:rsidRPr="004D66CE">
        <w:rPr>
          <w:rStyle w:val="Network-bodytext"/>
          <w:rFonts w:eastAsia="Calibri"/>
          <w:i/>
        </w:rPr>
        <w:t>Economic Record</w:t>
      </w:r>
      <w:r w:rsidRPr="00440C48">
        <w:rPr>
          <w:rStyle w:val="Network-bodytext"/>
          <w:rFonts w:eastAsia="Calibri"/>
        </w:rPr>
        <w:t>.</w:t>
      </w:r>
      <w:r w:rsidR="005E17C6" w:rsidRPr="008471DC">
        <w:rPr>
          <w:rStyle w:val="Network-bodytext"/>
        </w:rPr>
        <w:t xml:space="preserve"> </w:t>
      </w:r>
    </w:p>
    <w:p w:rsidR="00F22D44" w:rsidRPr="00E66994" w:rsidRDefault="00F22D44" w:rsidP="00E66994">
      <w:pPr>
        <w:rPr>
          <w:rFonts w:cs="Arial"/>
          <w:color w:val="333333"/>
        </w:rPr>
      </w:pPr>
    </w:p>
    <w:p w:rsidR="00020F76" w:rsidRPr="00B55B5B" w:rsidRDefault="00020F76" w:rsidP="008F6921">
      <w:pPr>
        <w:spacing w:after="0" w:line="240" w:lineRule="auto"/>
        <w:rPr>
          <w:rFonts w:cs="Arial"/>
          <w:i/>
        </w:rPr>
        <w:sectPr w:rsidR="00020F76" w:rsidRPr="00B55B5B" w:rsidSect="00F931E4">
          <w:endnotePr>
            <w:numFmt w:val="decimal"/>
          </w:endnotePr>
          <w:type w:val="continuous"/>
          <w:pgSz w:w="11906" w:h="16838" w:code="9"/>
          <w:pgMar w:top="1985" w:right="851" w:bottom="1134" w:left="851" w:header="567" w:footer="567" w:gutter="0"/>
          <w:cols w:num="2" w:space="708" w:equalWidth="0">
            <w:col w:w="4748" w:space="708"/>
            <w:col w:w="4748"/>
          </w:cols>
          <w:docGrid w:linePitch="360"/>
        </w:sectPr>
      </w:pPr>
    </w:p>
    <w:p w:rsidR="009907AF" w:rsidRPr="00C15EF3" w:rsidRDefault="00775501" w:rsidP="00C15EF3">
      <w:pPr>
        <w:pStyle w:val="Heading1"/>
      </w:pPr>
      <w:r w:rsidRPr="00C15EF3">
        <w:lastRenderedPageBreak/>
        <w:t>Regulatory Deci</w:t>
      </w:r>
      <w:r w:rsidR="00556789" w:rsidRPr="00C15EF3">
        <w:t xml:space="preserve">sions in </w:t>
      </w:r>
      <w:r w:rsidRPr="00C15EF3">
        <w:t>Australia</w:t>
      </w:r>
      <w:r w:rsidR="00D27FDC" w:rsidRPr="00C15EF3">
        <w:t xml:space="preserve"> and New Zealand</w:t>
      </w:r>
    </w:p>
    <w:p w:rsidR="00FA52BB" w:rsidRPr="00C15EF3" w:rsidRDefault="00FA52BB" w:rsidP="00C15EF3">
      <w:pPr>
        <w:pStyle w:val="Heading1"/>
        <w:sectPr w:rsidR="00FA52BB" w:rsidRPr="00C15EF3" w:rsidSect="00FA52BB">
          <w:footerReference w:type="default" r:id="rId22"/>
          <w:endnotePr>
            <w:numFmt w:val="decimal"/>
          </w:endnotePr>
          <w:pgSz w:w="11906" w:h="16838" w:code="9"/>
          <w:pgMar w:top="1985" w:right="851" w:bottom="1134" w:left="851" w:header="567" w:footer="567" w:gutter="0"/>
          <w:cols w:space="708"/>
          <w:docGrid w:linePitch="360"/>
        </w:sectPr>
      </w:pPr>
    </w:p>
    <w:p w:rsidR="00B7019C" w:rsidRPr="007736E1" w:rsidRDefault="00B7019C" w:rsidP="00B7019C">
      <w:pPr>
        <w:pStyle w:val="Heading2"/>
        <w:jc w:val="both"/>
      </w:pPr>
      <w:r w:rsidRPr="007736E1">
        <w:lastRenderedPageBreak/>
        <w:t>Australia</w:t>
      </w:r>
    </w:p>
    <w:p w:rsidR="00B7019C" w:rsidRPr="007736E1" w:rsidRDefault="00B7019C" w:rsidP="00B7019C">
      <w:pPr>
        <w:pStyle w:val="Heading2"/>
        <w:jc w:val="both"/>
      </w:pPr>
      <w:r w:rsidRPr="007736E1">
        <w:t>Australian Competition and Consumer Commission (ACCC)</w:t>
      </w:r>
    </w:p>
    <w:p w:rsidR="00E67E83" w:rsidRPr="00E67E83" w:rsidRDefault="00E67E83" w:rsidP="00E67E83">
      <w:pPr>
        <w:pStyle w:val="Heading3"/>
        <w:rPr>
          <w:rStyle w:val="Heading9Char"/>
          <w:rFonts w:cs="Times New Roman"/>
          <w:szCs w:val="20"/>
          <w:lang w:eastAsia="en-AU"/>
        </w:rPr>
      </w:pPr>
      <w:r w:rsidRPr="00E67E83">
        <w:rPr>
          <w:rStyle w:val="Heading9Char"/>
          <w:rFonts w:cs="Times New Roman"/>
          <w:szCs w:val="20"/>
          <w:lang w:eastAsia="en-AU"/>
        </w:rPr>
        <w:t>Container Stevedoring Monitoring Report Number 16 Released</w:t>
      </w:r>
    </w:p>
    <w:p w:rsidR="00E67E83" w:rsidRPr="00C47BE4" w:rsidRDefault="00E67E83" w:rsidP="00E67E83">
      <w:pPr>
        <w:pStyle w:val="Heading2"/>
        <w:jc w:val="both"/>
        <w:rPr>
          <w:rStyle w:val="Network-bodytext"/>
          <w:rFonts w:eastAsia="Calibri"/>
          <w:b w:val="0"/>
        </w:rPr>
      </w:pPr>
      <w:r w:rsidRPr="005F7D9E">
        <w:rPr>
          <w:rStyle w:val="Network-bodytext"/>
          <w:rFonts w:eastAsia="Calibri"/>
          <w:b w:val="0"/>
        </w:rPr>
        <w:t xml:space="preserve">On 30 October 2014 the ACCC released its sixteenth annual report on container stevedoring monitoring.  </w:t>
      </w:r>
      <w:hyperlink r:id="rId23" w:history="1">
        <w:r w:rsidRPr="00C47BE4">
          <w:rPr>
            <w:rStyle w:val="Hyperlink"/>
            <w:color w:val="595959"/>
            <w:kern w:val="36"/>
            <w:sz w:val="20"/>
            <w:u w:val="none"/>
          </w:rPr>
          <w:t>Read the report.</w:t>
        </w:r>
      </w:hyperlink>
      <w:r w:rsidRPr="00C47BE4">
        <w:rPr>
          <w:rStyle w:val="Network-bodytext"/>
          <w:rFonts w:eastAsia="Calibri"/>
          <w:b w:val="0"/>
        </w:rPr>
        <w:t xml:space="preserve">  </w:t>
      </w:r>
    </w:p>
    <w:p w:rsidR="00E67E83" w:rsidRPr="00E67E83" w:rsidRDefault="00E67E83" w:rsidP="00E67E83">
      <w:pPr>
        <w:pStyle w:val="Heading3"/>
        <w:rPr>
          <w:rStyle w:val="Heading9Char"/>
          <w:rFonts w:cs="Times New Roman"/>
          <w:szCs w:val="20"/>
          <w:lang w:eastAsia="en-AU"/>
        </w:rPr>
      </w:pPr>
      <w:r w:rsidRPr="00E67E83">
        <w:rPr>
          <w:rStyle w:val="Heading9Char"/>
          <w:rFonts w:cs="Times New Roman"/>
          <w:szCs w:val="20"/>
          <w:lang w:eastAsia="en-AU"/>
        </w:rPr>
        <w:t>Position Statement on Telstra-NBN Co Arrangements for Telstra’s Fixed-Line Prices Released</w:t>
      </w:r>
    </w:p>
    <w:p w:rsidR="00E67E83" w:rsidRPr="00C47BE4" w:rsidRDefault="00E67E83" w:rsidP="00E67E83">
      <w:pPr>
        <w:pStyle w:val="Heading2"/>
        <w:jc w:val="both"/>
        <w:rPr>
          <w:rStyle w:val="Network-bodytext"/>
          <w:rFonts w:eastAsia="Calibri"/>
          <w:b w:val="0"/>
        </w:rPr>
      </w:pPr>
      <w:r w:rsidRPr="005F7D9E">
        <w:rPr>
          <w:rStyle w:val="Network-bodytext"/>
          <w:rFonts w:eastAsia="Calibri"/>
          <w:b w:val="0"/>
        </w:rPr>
        <w:t>On 22 October 2014 the ACCC released a position statement on how it intends to account for the effect of arrangements between Telstra (ASX: TLS) and NBN Co in its final access determinations for Telstra’s regulated fixed-line services.</w:t>
      </w:r>
      <w:r>
        <w:rPr>
          <w:rStyle w:val="Network-bodytext"/>
          <w:rFonts w:eastAsia="Calibri"/>
          <w:b w:val="0"/>
        </w:rPr>
        <w:t xml:space="preserve"> </w:t>
      </w:r>
      <w:r w:rsidRPr="005F7D9E">
        <w:rPr>
          <w:rStyle w:val="Network-bodytext"/>
          <w:rFonts w:eastAsia="Calibri"/>
          <w:b w:val="0"/>
        </w:rPr>
        <w:t xml:space="preserve"> </w:t>
      </w:r>
      <w:hyperlink r:id="rId24" w:history="1">
        <w:r w:rsidRPr="00C47BE4">
          <w:rPr>
            <w:rStyle w:val="Hyperlink"/>
            <w:color w:val="595959"/>
            <w:kern w:val="36"/>
            <w:sz w:val="20"/>
            <w:u w:val="none"/>
          </w:rPr>
          <w:t>Read the position statement.</w:t>
        </w:r>
      </w:hyperlink>
      <w:r w:rsidRPr="00C47BE4">
        <w:rPr>
          <w:rStyle w:val="Network-bodytext"/>
          <w:rFonts w:eastAsia="Calibri"/>
        </w:rPr>
        <w:t xml:space="preserve"> </w:t>
      </w:r>
      <w:r w:rsidRPr="00C47BE4">
        <w:rPr>
          <w:rStyle w:val="Network-bodytext"/>
          <w:rFonts w:eastAsia="Calibri"/>
          <w:b w:val="0"/>
        </w:rPr>
        <w:t xml:space="preserve"> </w:t>
      </w:r>
    </w:p>
    <w:p w:rsidR="00E67E83" w:rsidRPr="00E67E83" w:rsidRDefault="00E67E83" w:rsidP="00E67E83">
      <w:pPr>
        <w:pStyle w:val="Heading3"/>
        <w:rPr>
          <w:rStyle w:val="Heading9Char"/>
          <w:rFonts w:cs="Times New Roman"/>
          <w:szCs w:val="20"/>
          <w:lang w:eastAsia="en-AU"/>
        </w:rPr>
      </w:pPr>
      <w:r w:rsidRPr="00E67E83">
        <w:rPr>
          <w:rStyle w:val="Heading9Char"/>
          <w:rFonts w:cs="Times New Roman"/>
          <w:szCs w:val="20"/>
          <w:lang w:eastAsia="en-AU"/>
        </w:rPr>
        <w:t>Graincorp’s Newcastle Port Terminal Granted an Exemption</w:t>
      </w:r>
    </w:p>
    <w:p w:rsidR="00B7019C" w:rsidRPr="007736E1" w:rsidRDefault="00E67E83" w:rsidP="00E67E83">
      <w:pPr>
        <w:rPr>
          <w:rStyle w:val="Network-bodytext"/>
          <w:rFonts w:eastAsia="Calibri"/>
        </w:rPr>
      </w:pPr>
      <w:r w:rsidRPr="00E67E83">
        <w:rPr>
          <w:rStyle w:val="Network-bodytext"/>
          <w:rFonts w:eastAsia="Calibri"/>
        </w:rPr>
        <w:t>On 2 October 2014 the ACCC granted an exemption for GrainCorp’s Carrington terminal at the Port of Newcastle under the new mandatory Code on bulk wheat terminal access.  The Code commenced on 30 September 2014, replacing the previous regime of access undertakings administered by the ACCC.  It regulates monopoly bulk wheat port terminal operators.</w:t>
      </w:r>
      <w:r w:rsidRPr="005F7D9E">
        <w:rPr>
          <w:rStyle w:val="Network-bodytext"/>
          <w:rFonts w:eastAsia="Calibri"/>
          <w:b/>
        </w:rPr>
        <w:t xml:space="preserve"> </w:t>
      </w:r>
      <w:r w:rsidRPr="00C47BE4">
        <w:rPr>
          <w:rStyle w:val="Network-bodytext"/>
          <w:rFonts w:eastAsia="Calibri"/>
          <w:b/>
        </w:rPr>
        <w:t xml:space="preserve"> </w:t>
      </w:r>
      <w:hyperlink r:id="rId25" w:history="1">
        <w:r w:rsidRPr="00C47BE4">
          <w:rPr>
            <w:rStyle w:val="Hyperlink"/>
            <w:b/>
            <w:color w:val="595959"/>
            <w:kern w:val="36"/>
            <w:u w:val="none"/>
          </w:rPr>
          <w:t>Read more about the Code.</w:t>
        </w:r>
      </w:hyperlink>
    </w:p>
    <w:p w:rsidR="00B7019C" w:rsidRPr="007736E1" w:rsidRDefault="00B7019C" w:rsidP="00B7019C">
      <w:pPr>
        <w:pStyle w:val="Heading2"/>
        <w:jc w:val="both"/>
      </w:pPr>
      <w:r w:rsidRPr="007736E1">
        <w:t>Australian Energy Regulator (AER)</w:t>
      </w:r>
    </w:p>
    <w:p w:rsidR="003A6FED" w:rsidRDefault="003A6FED" w:rsidP="003A6FED">
      <w:pPr>
        <w:pStyle w:val="Heading3"/>
      </w:pPr>
      <w:r>
        <w:t>Benchmarking Reports for Electricity Distribution and Transmission Released</w:t>
      </w:r>
    </w:p>
    <w:p w:rsidR="003A6FED" w:rsidRPr="00277B27" w:rsidRDefault="003A6FED" w:rsidP="003A6FED">
      <w:pPr>
        <w:pStyle w:val="Heading3"/>
        <w:rPr>
          <w:rStyle w:val="Network-bodytext"/>
          <w:rFonts w:eastAsia="Calibri"/>
          <w:b w:val="0"/>
        </w:rPr>
      </w:pPr>
      <w:r w:rsidRPr="00277B27">
        <w:rPr>
          <w:rStyle w:val="Network-bodytext"/>
          <w:rFonts w:eastAsia="Calibri"/>
          <w:b w:val="0"/>
        </w:rPr>
        <w:t>See ‘Notes on Interesting Decisions’.</w:t>
      </w:r>
    </w:p>
    <w:p w:rsidR="003A6FED" w:rsidRDefault="003A6FED" w:rsidP="003A6FED">
      <w:pPr>
        <w:pStyle w:val="Heading3"/>
      </w:pPr>
      <w:r>
        <w:t>TasNetworks Revenue Proposal – Draft Decision</w:t>
      </w:r>
    </w:p>
    <w:p w:rsidR="003A6FED" w:rsidRPr="00277B27" w:rsidRDefault="003A6FED" w:rsidP="003A6FED">
      <w:pPr>
        <w:pStyle w:val="Heading3"/>
        <w:rPr>
          <w:rStyle w:val="Network-bodytext"/>
          <w:rFonts w:eastAsia="Calibri"/>
          <w:b w:val="0"/>
        </w:rPr>
      </w:pPr>
      <w:r w:rsidRPr="00277B27">
        <w:rPr>
          <w:rStyle w:val="Network-bodytext"/>
          <w:rFonts w:eastAsia="Calibri"/>
          <w:b w:val="0"/>
        </w:rPr>
        <w:t xml:space="preserve">On 27 November 2014, the AER issued its draft decision on the revenue proposal submitted by the Tasmanian electricity transmission business, TasNetworks (previously known as Transend). </w:t>
      </w:r>
      <w:r>
        <w:rPr>
          <w:rStyle w:val="Network-bodytext"/>
          <w:rFonts w:eastAsia="Calibri"/>
          <w:b w:val="0"/>
        </w:rPr>
        <w:t xml:space="preserve"> </w:t>
      </w:r>
      <w:r w:rsidRPr="00277B27">
        <w:rPr>
          <w:rStyle w:val="Network-bodytext"/>
          <w:rFonts w:eastAsia="Calibri"/>
          <w:b w:val="0"/>
        </w:rPr>
        <w:t xml:space="preserve">The revenue proposal applies for the four years starting on 1 July 2015.  </w:t>
      </w:r>
      <w:hyperlink r:id="rId26" w:history="1">
        <w:r w:rsidRPr="00CA643B">
          <w:rPr>
            <w:rStyle w:val="Hyperlink"/>
            <w:color w:val="595959"/>
            <w:kern w:val="36"/>
            <w:sz w:val="20"/>
            <w:u w:val="none"/>
          </w:rPr>
          <w:t>View the draft decision.</w:t>
        </w:r>
      </w:hyperlink>
      <w:r w:rsidRPr="00277B27">
        <w:rPr>
          <w:rStyle w:val="Network-bodytext"/>
          <w:rFonts w:eastAsia="Calibri"/>
          <w:b w:val="0"/>
        </w:rPr>
        <w:t xml:space="preserve">  </w:t>
      </w:r>
    </w:p>
    <w:p w:rsidR="003A6FED" w:rsidRDefault="003A6FED" w:rsidP="003A6FED">
      <w:pPr>
        <w:pStyle w:val="Heading3"/>
      </w:pPr>
      <w:r>
        <w:t>ACT and NSW Distribution and Transmission Businesses Revenue Proposals – Draft Decision</w:t>
      </w:r>
    </w:p>
    <w:p w:rsidR="003A6FED" w:rsidRPr="00277B27" w:rsidRDefault="003A6FED" w:rsidP="003A6FED">
      <w:pPr>
        <w:pStyle w:val="Heading3"/>
        <w:rPr>
          <w:rStyle w:val="Network-bodytext"/>
          <w:rFonts w:eastAsia="Calibri"/>
          <w:b w:val="0"/>
        </w:rPr>
      </w:pPr>
      <w:r w:rsidRPr="00277B27">
        <w:rPr>
          <w:rStyle w:val="Network-bodytext"/>
          <w:rFonts w:eastAsia="Calibri"/>
          <w:b w:val="0"/>
        </w:rPr>
        <w:t xml:space="preserve">On 27 November 2014, the AER issued draft decisions on the revenue proposals submitted by </w:t>
      </w:r>
      <w:r w:rsidRPr="00277B27">
        <w:rPr>
          <w:rStyle w:val="Network-bodytext"/>
          <w:rFonts w:eastAsia="Calibri"/>
          <w:b w:val="0"/>
        </w:rPr>
        <w:lastRenderedPageBreak/>
        <w:t xml:space="preserve">ACT and NSW distribution and transmission businesses starting on 1 July 2015.  The draft decisions apply to:  one electricity distribution business in the ACT (ActewAGL); three electricity distribution businesses in NSW (Ausgrid, Endeavour Energy and Essential Energy); one gas distribution business in NSW (Jemena Gas Networks); and two electricity transmission businesses in NSW (TransGrid and Directlink). </w:t>
      </w:r>
      <w:r w:rsidR="006B4E42">
        <w:rPr>
          <w:rStyle w:val="Network-bodytext"/>
          <w:rFonts w:eastAsia="Calibri"/>
          <w:b w:val="0"/>
        </w:rPr>
        <w:t xml:space="preserve"> </w:t>
      </w:r>
      <w:hyperlink r:id="rId27" w:history="1">
        <w:r w:rsidR="00CA643B" w:rsidRPr="006B4E42">
          <w:rPr>
            <w:rStyle w:val="Hyperlink"/>
            <w:rFonts w:eastAsia="Calibri"/>
            <w:noProof w:val="0"/>
            <w:kern w:val="36"/>
            <w:sz w:val="20"/>
            <w:u w:val="none"/>
          </w:rPr>
          <w:t>View the draft decision.</w:t>
        </w:r>
      </w:hyperlink>
      <w:r w:rsidR="00CA643B">
        <w:rPr>
          <w:rStyle w:val="Network-bodytext"/>
          <w:rFonts w:eastAsia="Calibri"/>
          <w:b w:val="0"/>
        </w:rPr>
        <w:t xml:space="preserve"> </w:t>
      </w:r>
    </w:p>
    <w:p w:rsidR="00E67E83" w:rsidRPr="00854BD8" w:rsidRDefault="00E67E83" w:rsidP="00E67E83">
      <w:pPr>
        <w:pStyle w:val="Heading3"/>
      </w:pPr>
      <w:r w:rsidRPr="00854BD8">
        <w:t>Victorian Demand Management Incentive Scheme Re-issued</w:t>
      </w:r>
    </w:p>
    <w:p w:rsidR="00E67E83" w:rsidRPr="004758D9" w:rsidRDefault="00E67E83" w:rsidP="00E67E83">
      <w:pPr>
        <w:pStyle w:val="Heading2"/>
        <w:jc w:val="both"/>
        <w:rPr>
          <w:rStyle w:val="Network-bodytext"/>
          <w:rFonts w:eastAsia="Calibri"/>
          <w:b w:val="0"/>
        </w:rPr>
      </w:pPr>
      <w:r w:rsidRPr="00854BD8">
        <w:rPr>
          <w:rStyle w:val="Network-bodytext"/>
          <w:rFonts w:eastAsia="Calibri"/>
          <w:b w:val="0"/>
        </w:rPr>
        <w:t>On 21 November 2014 the AER decided to re-issue the Victorian Demand Man</w:t>
      </w:r>
      <w:bookmarkStart w:id="4" w:name="_GoBack"/>
      <w:bookmarkEnd w:id="4"/>
      <w:r w:rsidRPr="00854BD8">
        <w:rPr>
          <w:rStyle w:val="Network-bodytext"/>
          <w:rFonts w:eastAsia="Calibri"/>
          <w:b w:val="0"/>
        </w:rPr>
        <w:t xml:space="preserve">agement </w:t>
      </w:r>
      <w:r w:rsidRPr="004758D9">
        <w:rPr>
          <w:rStyle w:val="Network-bodytext"/>
          <w:rFonts w:eastAsia="Calibri"/>
          <w:b w:val="0"/>
        </w:rPr>
        <w:t xml:space="preserve">Incentive Scheme for the 2016-2020 regulatory control period.  </w:t>
      </w:r>
      <w:hyperlink r:id="rId28" w:history="1">
        <w:r w:rsidRPr="004758D9">
          <w:rPr>
            <w:rStyle w:val="Hyperlink"/>
            <w:color w:val="595959"/>
            <w:kern w:val="36"/>
            <w:sz w:val="20"/>
            <w:u w:val="none"/>
          </w:rPr>
          <w:t>Read about the scheme.</w:t>
        </w:r>
      </w:hyperlink>
      <w:r w:rsidRPr="004758D9">
        <w:rPr>
          <w:rStyle w:val="Network-bodytext"/>
          <w:rFonts w:eastAsia="Calibri"/>
          <w:b w:val="0"/>
        </w:rPr>
        <w:t xml:space="preserve">  </w:t>
      </w:r>
    </w:p>
    <w:p w:rsidR="00E67E83" w:rsidRPr="00854BD8" w:rsidRDefault="00E67E83" w:rsidP="00E67E83">
      <w:pPr>
        <w:pStyle w:val="Heading3"/>
      </w:pPr>
      <w:r w:rsidRPr="00854BD8">
        <w:t>Electricity Network Charges in South Australia and Queensland – Reset Process to Commence</w:t>
      </w:r>
    </w:p>
    <w:p w:rsidR="00E67E83" w:rsidRPr="004758D9" w:rsidRDefault="00E67E83" w:rsidP="00E67E83">
      <w:pPr>
        <w:pStyle w:val="Heading2"/>
        <w:jc w:val="both"/>
        <w:rPr>
          <w:rStyle w:val="Network-bodytext"/>
          <w:rFonts w:eastAsia="Calibri"/>
          <w:b w:val="0"/>
        </w:rPr>
      </w:pPr>
      <w:r w:rsidRPr="00854BD8">
        <w:rPr>
          <w:rStyle w:val="Network-bodytext"/>
          <w:rFonts w:eastAsia="Calibri"/>
          <w:b w:val="0"/>
        </w:rPr>
        <w:t xml:space="preserve">On 14 November 2014 the AER commenced its process on setting network charges for the 2015 to 2020 regulatory control period from Energex and Ergon Energy in Queensland and </w:t>
      </w:r>
      <w:r w:rsidRPr="004758D9">
        <w:rPr>
          <w:rStyle w:val="Network-bodytext"/>
          <w:rFonts w:eastAsia="Calibri"/>
          <w:b w:val="0"/>
        </w:rPr>
        <w:t xml:space="preserve">SA Power Networks in South Australia.  </w:t>
      </w:r>
      <w:hyperlink r:id="rId29" w:history="1">
        <w:r w:rsidRPr="004758D9">
          <w:rPr>
            <w:rStyle w:val="Hyperlink"/>
            <w:color w:val="595959"/>
            <w:kern w:val="36"/>
            <w:sz w:val="20"/>
            <w:u w:val="none"/>
          </w:rPr>
          <w:t>Request for submissions.</w:t>
        </w:r>
      </w:hyperlink>
      <w:r w:rsidRPr="004758D9">
        <w:rPr>
          <w:rStyle w:val="Network-bodytext"/>
          <w:rFonts w:eastAsia="Calibri"/>
        </w:rPr>
        <w:t xml:space="preserve"> </w:t>
      </w:r>
      <w:r w:rsidRPr="004758D9">
        <w:rPr>
          <w:rStyle w:val="Network-bodytext"/>
          <w:rFonts w:eastAsia="Calibri"/>
          <w:b w:val="0"/>
        </w:rPr>
        <w:t xml:space="preserve"> </w:t>
      </w:r>
    </w:p>
    <w:p w:rsidR="00E67E83" w:rsidRPr="00854BD8" w:rsidRDefault="00E67E83" w:rsidP="00E67E83">
      <w:pPr>
        <w:pStyle w:val="Heading3"/>
      </w:pPr>
      <w:r w:rsidRPr="00854BD8">
        <w:t>Individual Exemptions for the Sale of Electricity</w:t>
      </w:r>
    </w:p>
    <w:p w:rsidR="00E67E83" w:rsidRPr="00854BD8" w:rsidRDefault="00E67E83" w:rsidP="00E67E83">
      <w:pPr>
        <w:pStyle w:val="Heading2"/>
        <w:jc w:val="both"/>
        <w:rPr>
          <w:rStyle w:val="Network-bodytext"/>
          <w:rFonts w:eastAsia="Calibri"/>
          <w:b w:val="0"/>
        </w:rPr>
      </w:pPr>
      <w:r w:rsidRPr="00854BD8">
        <w:rPr>
          <w:rStyle w:val="Network-bodytext"/>
          <w:rFonts w:eastAsia="Calibri"/>
          <w:b w:val="0"/>
        </w:rPr>
        <w:t xml:space="preserve">On 31 October 2014 the AER granted individual exemptions for the sale of electricity to:  Solarmine Pty Ltd; Horan and Bird; Trading Green Pty Ltd; Demand Manager Solar Funding; </w:t>
      </w:r>
      <w:r w:rsidRPr="004758D9">
        <w:rPr>
          <w:rStyle w:val="Network-bodytext"/>
          <w:rFonts w:eastAsia="Calibri"/>
          <w:b w:val="0"/>
        </w:rPr>
        <w:t>and Kenjarhy Solar Pty Ltd.   On 28 October 2014 the AER granted individual exemptions for</w:t>
      </w:r>
      <w:r w:rsidRPr="00854BD8">
        <w:rPr>
          <w:rStyle w:val="Network-bodytext"/>
          <w:rFonts w:eastAsia="Calibri"/>
          <w:b w:val="0"/>
        </w:rPr>
        <w:t xml:space="preserve"> the sale of electricity to:  Countrywide Energy Pty Ltd; and Brookfield District Energy (CP) Pty Ltd.</w:t>
      </w:r>
    </w:p>
    <w:p w:rsidR="00E67E83" w:rsidRPr="00854BD8" w:rsidRDefault="00E67E83" w:rsidP="00E67E83">
      <w:pPr>
        <w:pStyle w:val="Heading3"/>
      </w:pPr>
      <w:r w:rsidRPr="00854BD8">
        <w:t>Electricity Post-Tax Revenue Model (PTRM) – Proposed Amendments</w:t>
      </w:r>
    </w:p>
    <w:p w:rsidR="00E67E83" w:rsidRPr="004758D9" w:rsidRDefault="00E67E83" w:rsidP="00E67E83">
      <w:pPr>
        <w:pStyle w:val="Heading2"/>
        <w:jc w:val="both"/>
        <w:rPr>
          <w:rStyle w:val="Network-bodytext"/>
          <w:rFonts w:eastAsia="Calibri"/>
        </w:rPr>
      </w:pPr>
      <w:r w:rsidRPr="00854BD8">
        <w:rPr>
          <w:rStyle w:val="Network-bodytext"/>
          <w:rFonts w:eastAsia="Calibri"/>
          <w:b w:val="0"/>
        </w:rPr>
        <w:t xml:space="preserve">On 3 October 2014 the AER released its proposed amendments to the Post-Tax Revenue Model for electricity.  Stakeholders had until 17 November 2014 to make submissions.  </w:t>
      </w:r>
      <w:hyperlink r:id="rId30" w:history="1">
        <w:r w:rsidRPr="004758D9">
          <w:rPr>
            <w:rStyle w:val="Hyperlink"/>
            <w:color w:val="595959"/>
            <w:kern w:val="36"/>
            <w:sz w:val="20"/>
            <w:u w:val="none"/>
          </w:rPr>
          <w:t>See the proposed amendments.</w:t>
        </w:r>
      </w:hyperlink>
      <w:r w:rsidRPr="004758D9">
        <w:rPr>
          <w:rStyle w:val="Network-bodytext"/>
          <w:rFonts w:eastAsia="Calibri"/>
        </w:rPr>
        <w:t xml:space="preserve">  </w:t>
      </w:r>
    </w:p>
    <w:p w:rsidR="00E67E83" w:rsidRPr="00854BD8" w:rsidRDefault="00E67E83" w:rsidP="00E67E83">
      <w:pPr>
        <w:pStyle w:val="Heading3"/>
      </w:pPr>
      <w:r w:rsidRPr="00854BD8">
        <w:t>New AER Chair Commences</w:t>
      </w:r>
    </w:p>
    <w:p w:rsidR="00B7019C" w:rsidRPr="007736E1" w:rsidRDefault="00E67E83" w:rsidP="00E67E83">
      <w:pPr>
        <w:rPr>
          <w:rStyle w:val="Network-bodytext"/>
          <w:rFonts w:eastAsia="Calibri"/>
        </w:rPr>
      </w:pPr>
      <w:r w:rsidRPr="00C47BE4">
        <w:rPr>
          <w:rStyle w:val="Network-bodytext"/>
          <w:rFonts w:eastAsia="Calibri"/>
        </w:rPr>
        <w:t>On 1 October 2014 Ms Paula Conboy commenced as the Chair of the AER.</w:t>
      </w:r>
      <w:r w:rsidRPr="00854BD8">
        <w:rPr>
          <w:rStyle w:val="Network-bodytext"/>
          <w:rFonts w:eastAsia="Calibri"/>
          <w:b/>
        </w:rPr>
        <w:t xml:space="preserve"> </w:t>
      </w:r>
      <w:r>
        <w:rPr>
          <w:rStyle w:val="Network-bodytext"/>
          <w:rFonts w:eastAsia="Calibri"/>
          <w:b/>
        </w:rPr>
        <w:t xml:space="preserve"> </w:t>
      </w:r>
      <w:hyperlink r:id="rId31" w:history="1">
        <w:r w:rsidRPr="00C47BE4">
          <w:rPr>
            <w:rStyle w:val="Hyperlink"/>
            <w:b/>
            <w:color w:val="595959"/>
            <w:kern w:val="36"/>
            <w:u w:val="none"/>
          </w:rPr>
          <w:t>Read about the appointment.</w:t>
        </w:r>
      </w:hyperlink>
    </w:p>
    <w:p w:rsidR="00B7019C" w:rsidRPr="007736E1" w:rsidRDefault="00B7019C" w:rsidP="00B7019C">
      <w:pPr>
        <w:pStyle w:val="Heading2"/>
        <w:jc w:val="both"/>
      </w:pPr>
      <w:r w:rsidRPr="007736E1">
        <w:lastRenderedPageBreak/>
        <w:t>Australian Energy Market Commission (AEMC)</w:t>
      </w:r>
    </w:p>
    <w:p w:rsidR="00E67E83" w:rsidRPr="00562113" w:rsidRDefault="00E67E83" w:rsidP="00E67E83">
      <w:pPr>
        <w:pStyle w:val="Heading3"/>
      </w:pPr>
      <w:r w:rsidRPr="00562113">
        <w:t>Implementation Timetable for Competition in Metering Rule Change – Stakeholder Comments Sought</w:t>
      </w:r>
    </w:p>
    <w:p w:rsidR="00E67E83" w:rsidRPr="00E62BC0" w:rsidRDefault="00E67E83" w:rsidP="00E67E83">
      <w:pPr>
        <w:pStyle w:val="Heading2"/>
        <w:jc w:val="both"/>
        <w:rPr>
          <w:rStyle w:val="Network-bodytext"/>
          <w:rFonts w:eastAsia="Calibri"/>
          <w:b w:val="0"/>
        </w:rPr>
      </w:pPr>
      <w:r w:rsidRPr="00E62BC0">
        <w:rPr>
          <w:rStyle w:val="Network-bodytext"/>
          <w:rFonts w:eastAsia="Calibri"/>
          <w:b w:val="0"/>
        </w:rPr>
        <w:t xml:space="preserve">On 20 November 2014 the AEMC sought written submissions from stakeholders on the proposed implementation timetable for the various components of the competition in metering and related services rule change.  </w:t>
      </w:r>
      <w:hyperlink r:id="rId32" w:history="1">
        <w:r w:rsidRPr="00E62BC0">
          <w:rPr>
            <w:rStyle w:val="Hyperlink"/>
            <w:color w:val="595959"/>
            <w:kern w:val="36"/>
            <w:sz w:val="20"/>
            <w:u w:val="none"/>
          </w:rPr>
          <w:t>Read more about the draft determination.</w:t>
        </w:r>
      </w:hyperlink>
      <w:r w:rsidRPr="00E62BC0">
        <w:rPr>
          <w:rStyle w:val="Network-bodytext"/>
          <w:rFonts w:eastAsia="Calibri"/>
          <w:b w:val="0"/>
        </w:rPr>
        <w:t xml:space="preserve">  </w:t>
      </w:r>
    </w:p>
    <w:p w:rsidR="00E67E83" w:rsidRPr="00562113" w:rsidRDefault="00E67E83" w:rsidP="00E67E83">
      <w:pPr>
        <w:pStyle w:val="Heading3"/>
      </w:pPr>
      <w:r w:rsidRPr="00562113">
        <w:t>New Rule on Connecting Smaller Generators</w:t>
      </w:r>
    </w:p>
    <w:p w:rsidR="00E67E83" w:rsidRPr="00E62BC0" w:rsidRDefault="00E67E83" w:rsidP="00E67E83">
      <w:pPr>
        <w:pStyle w:val="Heading2"/>
        <w:jc w:val="both"/>
        <w:rPr>
          <w:rStyle w:val="Network-bodytext"/>
          <w:rFonts w:eastAsia="Calibri"/>
          <w:b w:val="0"/>
        </w:rPr>
      </w:pPr>
      <w:r w:rsidRPr="00562113">
        <w:rPr>
          <w:rStyle w:val="Network-bodytext"/>
          <w:rFonts w:eastAsia="Calibri"/>
          <w:b w:val="0"/>
        </w:rPr>
        <w:t xml:space="preserve">On 13 November 2014 the AEMC made a new rule on connecting generators under 5MW to </w:t>
      </w:r>
      <w:r w:rsidRPr="00E62BC0">
        <w:rPr>
          <w:rStyle w:val="Network-bodytext"/>
          <w:rFonts w:eastAsia="Calibri"/>
          <w:b w:val="0"/>
        </w:rPr>
        <w:t xml:space="preserve">distribution networks.  </w:t>
      </w:r>
      <w:hyperlink r:id="rId33" w:history="1">
        <w:r w:rsidRPr="00E62BC0">
          <w:rPr>
            <w:rStyle w:val="Hyperlink"/>
            <w:color w:val="595959"/>
            <w:kern w:val="36"/>
            <w:sz w:val="20"/>
            <w:u w:val="none"/>
          </w:rPr>
          <w:t>Read the final determination.</w:t>
        </w:r>
      </w:hyperlink>
      <w:r w:rsidRPr="00E62BC0">
        <w:rPr>
          <w:rStyle w:val="Network-bodytext"/>
          <w:rFonts w:eastAsia="Calibri"/>
          <w:b w:val="0"/>
        </w:rPr>
        <w:t xml:space="preserve">   </w:t>
      </w:r>
    </w:p>
    <w:p w:rsidR="00E67E83" w:rsidRPr="00562113" w:rsidRDefault="00E67E83" w:rsidP="00E67E83">
      <w:pPr>
        <w:pStyle w:val="Heading3"/>
      </w:pPr>
      <w:r w:rsidRPr="00562113">
        <w:t>Approach to 2015 Retail Competition Review</w:t>
      </w:r>
    </w:p>
    <w:p w:rsidR="00E67E83" w:rsidRDefault="00E67E83" w:rsidP="00E67E83">
      <w:pPr>
        <w:pStyle w:val="Heading3"/>
        <w:rPr>
          <w:rStyle w:val="Network-bodytext"/>
          <w:rFonts w:eastAsia="Calibri"/>
        </w:rPr>
      </w:pPr>
      <w:r w:rsidRPr="00562113">
        <w:rPr>
          <w:rStyle w:val="Network-bodytext"/>
          <w:rFonts w:eastAsia="Calibri"/>
          <w:b w:val="0"/>
        </w:rPr>
        <w:t xml:space="preserve">On 31 October 2014 the AEMC invited stakeholder feedback on a consultation paper setting out the proposed assessment framework for the Commission’s second review of energy retail competition in National Electricity Market states and territories.  The AEMC undertakes annual NEM-wide competition reviews for the Council of Australian Governments Energy </w:t>
      </w:r>
      <w:r w:rsidRPr="00E62BC0">
        <w:rPr>
          <w:rStyle w:val="Network-bodytext"/>
          <w:rFonts w:eastAsia="Calibri"/>
          <w:b w:val="0"/>
        </w:rPr>
        <w:t xml:space="preserve">Council.  </w:t>
      </w:r>
      <w:hyperlink r:id="rId34" w:history="1">
        <w:r w:rsidRPr="00E62BC0">
          <w:rPr>
            <w:rStyle w:val="Hyperlink"/>
            <w:color w:val="595959"/>
            <w:kern w:val="36"/>
            <w:sz w:val="20"/>
            <w:u w:val="none"/>
          </w:rPr>
          <w:t>Read more about the consultation paper.</w:t>
        </w:r>
      </w:hyperlink>
    </w:p>
    <w:p w:rsidR="00B7019C" w:rsidRPr="00E67E83" w:rsidRDefault="00B7019C" w:rsidP="00B7019C">
      <w:pPr>
        <w:pStyle w:val="Heading2"/>
        <w:jc w:val="both"/>
      </w:pPr>
      <w:r w:rsidRPr="00E67E83">
        <w:t>National Competition Council (NCC)</w:t>
      </w:r>
    </w:p>
    <w:p w:rsidR="00853734" w:rsidRPr="00277B27" w:rsidRDefault="00853734" w:rsidP="00853734">
      <w:pPr>
        <w:pStyle w:val="Heading2"/>
        <w:jc w:val="both"/>
        <w:rPr>
          <w:rFonts w:cs="Arial"/>
          <w:color w:val="31849B"/>
          <w:sz w:val="22"/>
        </w:rPr>
      </w:pPr>
      <w:r w:rsidRPr="00277B27">
        <w:rPr>
          <w:rFonts w:cs="Arial"/>
          <w:color w:val="31849B"/>
          <w:sz w:val="22"/>
        </w:rPr>
        <w:t>2013-14 Annual Report</w:t>
      </w:r>
    </w:p>
    <w:p w:rsidR="00853734" w:rsidRPr="00277B27" w:rsidRDefault="00853734" w:rsidP="00853734">
      <w:pPr>
        <w:pStyle w:val="Heading2"/>
        <w:jc w:val="both"/>
        <w:rPr>
          <w:rFonts w:ascii="Calibri" w:hAnsi="Calibri"/>
          <w:color w:val="595959"/>
        </w:rPr>
      </w:pPr>
      <w:r w:rsidRPr="00277B27">
        <w:rPr>
          <w:rStyle w:val="Network-bodytext"/>
          <w:rFonts w:eastAsia="Calibri"/>
          <w:b w:val="0"/>
        </w:rPr>
        <w:t xml:space="preserve">On 29 October 2014 the NCC announced the public availability of its Annual Report for 2013-14.  </w:t>
      </w:r>
      <w:hyperlink r:id="rId35" w:history="1">
        <w:r w:rsidRPr="00277B27">
          <w:rPr>
            <w:rStyle w:val="Hyperlink"/>
            <w:color w:val="595959"/>
            <w:kern w:val="36"/>
            <w:sz w:val="20"/>
            <w:u w:val="none"/>
          </w:rPr>
          <w:t>Read the report.</w:t>
        </w:r>
      </w:hyperlink>
      <w:r w:rsidRPr="00277B27">
        <w:rPr>
          <w:color w:val="595959"/>
        </w:rPr>
        <w:t xml:space="preserve"> </w:t>
      </w:r>
      <w:r w:rsidRPr="00277B27">
        <w:rPr>
          <w:rFonts w:ascii="Calibri" w:hAnsi="Calibri"/>
          <w:color w:val="595959"/>
        </w:rPr>
        <w:t xml:space="preserve"> </w:t>
      </w:r>
    </w:p>
    <w:p w:rsidR="00B7019C" w:rsidRPr="007736E1" w:rsidRDefault="00B7019C" w:rsidP="00B7019C">
      <w:pPr>
        <w:pStyle w:val="Heading2"/>
        <w:jc w:val="both"/>
      </w:pPr>
      <w:r w:rsidRPr="007736E1">
        <w:t>Australian Capital Territory</w:t>
      </w:r>
    </w:p>
    <w:p w:rsidR="00B7019C" w:rsidRPr="007736E1" w:rsidRDefault="00B7019C" w:rsidP="00B7019C">
      <w:pPr>
        <w:pStyle w:val="Heading2"/>
        <w:jc w:val="both"/>
      </w:pPr>
      <w:r w:rsidRPr="007736E1">
        <w:t>Independent Competition and Regulatory Commission (ICRC)</w:t>
      </w:r>
    </w:p>
    <w:p w:rsidR="00E67E83" w:rsidRPr="00E67E83" w:rsidRDefault="00E67E83" w:rsidP="00E67E83">
      <w:pPr>
        <w:pStyle w:val="Heading3"/>
        <w:rPr>
          <w:rStyle w:val="Emphasis"/>
          <w:i w:val="0"/>
        </w:rPr>
      </w:pPr>
      <w:r w:rsidRPr="00E67E83">
        <w:rPr>
          <w:rStyle w:val="Emphasis"/>
          <w:i w:val="0"/>
        </w:rPr>
        <w:t xml:space="preserve">ACTEW Regulated Water and Sewerage Prices </w:t>
      </w:r>
    </w:p>
    <w:p w:rsidR="00E67E83" w:rsidRDefault="00E67E83" w:rsidP="00E67E83">
      <w:pPr>
        <w:pStyle w:val="Heading2"/>
        <w:jc w:val="both"/>
        <w:rPr>
          <w:rStyle w:val="Network-bodytext"/>
          <w:rFonts w:eastAsia="Calibri"/>
        </w:rPr>
      </w:pPr>
      <w:r w:rsidRPr="006D1376">
        <w:rPr>
          <w:rStyle w:val="Network-bodytext"/>
          <w:rFonts w:eastAsia="Calibri"/>
          <w:b w:val="0"/>
        </w:rPr>
        <w:t>On 4 November 2014 the ICRC announced the maximum prices that ACTEW can charge for its regulated water and sewerage services from 1 July 2014.</w:t>
      </w:r>
      <w:r>
        <w:rPr>
          <w:rStyle w:val="Network-bodytext"/>
          <w:rFonts w:eastAsia="Calibri"/>
          <w:b w:val="0"/>
        </w:rPr>
        <w:t xml:space="preserve">  </w:t>
      </w:r>
      <w:r w:rsidRPr="006D1376">
        <w:rPr>
          <w:rStyle w:val="Network-bodytext"/>
          <w:rFonts w:eastAsia="Calibri"/>
          <w:b w:val="0"/>
        </w:rPr>
        <w:t>The approved schedule of ACTEW’s 2014-15 water and sewerage service charges can be found on the ACT Legislation Register.</w:t>
      </w:r>
      <w:r>
        <w:rPr>
          <w:rStyle w:val="Network-bodytext"/>
          <w:rFonts w:eastAsia="Calibri"/>
          <w:b w:val="0"/>
        </w:rPr>
        <w:t xml:space="preserve"> </w:t>
      </w:r>
      <w:r w:rsidRPr="006D1376">
        <w:rPr>
          <w:rStyle w:val="Network-bodytext"/>
          <w:rFonts w:eastAsia="Calibri"/>
          <w:b w:val="0"/>
        </w:rPr>
        <w:t xml:space="preserve"> </w:t>
      </w:r>
      <w:hyperlink r:id="rId36" w:history="1">
        <w:r w:rsidRPr="006D1376">
          <w:rPr>
            <w:rStyle w:val="Network-bodytext"/>
            <w:rFonts w:eastAsia="Calibri"/>
          </w:rPr>
          <w:t>Read the announcement.</w:t>
        </w:r>
      </w:hyperlink>
    </w:p>
    <w:p w:rsidR="00B7019C" w:rsidRPr="007736E1" w:rsidRDefault="005865F7" w:rsidP="00E67E83">
      <w:pPr>
        <w:pStyle w:val="Heading2"/>
        <w:jc w:val="both"/>
      </w:pPr>
      <w:r>
        <w:br w:type="column"/>
      </w:r>
      <w:r w:rsidR="00B7019C" w:rsidRPr="007736E1">
        <w:lastRenderedPageBreak/>
        <w:t>New South Wales</w:t>
      </w:r>
    </w:p>
    <w:p w:rsidR="00B7019C" w:rsidRPr="007736E1" w:rsidRDefault="00B7019C" w:rsidP="00B7019C">
      <w:pPr>
        <w:pStyle w:val="Heading2"/>
        <w:jc w:val="both"/>
      </w:pPr>
      <w:r w:rsidRPr="007736E1">
        <w:t>Independent Pricing and Regulatory Tribunal (IPART)</w:t>
      </w:r>
    </w:p>
    <w:p w:rsidR="00E67E83" w:rsidRPr="00405EE8" w:rsidRDefault="00E67E83" w:rsidP="00E67E83">
      <w:pPr>
        <w:pStyle w:val="Heading3"/>
      </w:pPr>
      <w:r w:rsidRPr="00405EE8">
        <w:t xml:space="preserve">Annual Report 2013-14 </w:t>
      </w:r>
    </w:p>
    <w:p w:rsidR="00E67E83" w:rsidRPr="00405EE8" w:rsidRDefault="00E67E83" w:rsidP="00E67E83">
      <w:pPr>
        <w:pStyle w:val="Heading2"/>
        <w:jc w:val="both"/>
        <w:rPr>
          <w:rStyle w:val="Network-bodytext"/>
          <w:rFonts w:eastAsia="Calibri"/>
          <w:b w:val="0"/>
        </w:rPr>
      </w:pPr>
      <w:r w:rsidRPr="00405EE8">
        <w:rPr>
          <w:rStyle w:val="Network-bodytext"/>
          <w:rFonts w:eastAsia="Calibri"/>
          <w:b w:val="0"/>
        </w:rPr>
        <w:t xml:space="preserve">On 17 November 2014 the IPART released its annual report for 2013-14.  </w:t>
      </w:r>
      <w:hyperlink r:id="rId37" w:history="1">
        <w:r w:rsidRPr="00405EE8">
          <w:rPr>
            <w:rStyle w:val="Network-bodytext"/>
            <w:rFonts w:eastAsia="Calibri"/>
          </w:rPr>
          <w:t>View the annual report.</w:t>
        </w:r>
      </w:hyperlink>
    </w:p>
    <w:p w:rsidR="00B7019C" w:rsidRPr="007736E1" w:rsidRDefault="00B7019C" w:rsidP="00B7019C">
      <w:pPr>
        <w:pStyle w:val="Heading2"/>
        <w:jc w:val="both"/>
      </w:pPr>
      <w:r w:rsidRPr="007736E1">
        <w:t>Queensland</w:t>
      </w:r>
    </w:p>
    <w:p w:rsidR="00B7019C" w:rsidRPr="007736E1" w:rsidRDefault="00B7019C" w:rsidP="00B7019C">
      <w:pPr>
        <w:pStyle w:val="Heading2"/>
        <w:jc w:val="both"/>
      </w:pPr>
      <w:r w:rsidRPr="007736E1">
        <w:t>Queensland Competition Authority (QCA)</w:t>
      </w:r>
    </w:p>
    <w:p w:rsidR="00B47D85" w:rsidRPr="002B2BAE" w:rsidRDefault="00B47D85" w:rsidP="00B47D85">
      <w:pPr>
        <w:pStyle w:val="Heading3"/>
        <w:rPr>
          <w:rStyle w:val="Emphasis"/>
        </w:rPr>
      </w:pPr>
      <w:r w:rsidRPr="002B2BAE">
        <w:t>Aurizon Network’s Proposed Standard User Funding Agreement Arrangements – Draft Decision</w:t>
      </w:r>
    </w:p>
    <w:p w:rsidR="00B47D85" w:rsidRPr="002B2BAE" w:rsidRDefault="00B47D85" w:rsidP="00B47D85">
      <w:pPr>
        <w:pStyle w:val="Heading3"/>
        <w:spacing w:before="0"/>
        <w:rPr>
          <w:rStyle w:val="Network-bodytext"/>
          <w:rFonts w:eastAsia="Calibri"/>
          <w:b w:val="0"/>
        </w:rPr>
      </w:pPr>
      <w:r w:rsidRPr="002B2BAE">
        <w:rPr>
          <w:rStyle w:val="Network-bodytext"/>
          <w:rFonts w:eastAsia="Calibri"/>
          <w:b w:val="0"/>
        </w:rPr>
        <w:t>On 31 October 2014 the QCA issued its draft decision on Aurizon Network’s proposed Standard User Funding Agreement (SUFA) arrangements.</w:t>
      </w:r>
      <w:r>
        <w:rPr>
          <w:rStyle w:val="Network-bodytext"/>
          <w:rFonts w:eastAsia="Calibri"/>
          <w:b w:val="0"/>
        </w:rPr>
        <w:t xml:space="preserve"> </w:t>
      </w:r>
      <w:r w:rsidRPr="002B2BAE">
        <w:rPr>
          <w:rStyle w:val="Network-bodytext"/>
          <w:rFonts w:eastAsia="Calibri"/>
          <w:b w:val="0"/>
        </w:rPr>
        <w:t xml:space="preserve"> The QCA is seeking views from interested parties on the draft decision by 16 January 2015 and will make a final decision in the first half of 2015. </w:t>
      </w:r>
      <w:r>
        <w:rPr>
          <w:rStyle w:val="Network-bodytext"/>
          <w:rFonts w:eastAsia="Calibri"/>
          <w:b w:val="0"/>
        </w:rPr>
        <w:t xml:space="preserve"> </w:t>
      </w:r>
      <w:hyperlink r:id="rId38" w:history="1">
        <w:r w:rsidRPr="00EA358A">
          <w:rPr>
            <w:rStyle w:val="Network-bodytext"/>
            <w:rFonts w:eastAsia="Calibri"/>
          </w:rPr>
          <w:t>Read more about the draft decision.</w:t>
        </w:r>
      </w:hyperlink>
    </w:p>
    <w:p w:rsidR="00B47D85" w:rsidRPr="002B2BAE" w:rsidRDefault="00B47D85" w:rsidP="00B47D85">
      <w:pPr>
        <w:pStyle w:val="Heading3"/>
        <w:rPr>
          <w:rStyle w:val="Emphasis"/>
        </w:rPr>
      </w:pPr>
      <w:r w:rsidRPr="002B2BAE">
        <w:t>Queensland Rail’s 2013 Draft Access Undertaking – Draft Decision</w:t>
      </w:r>
    </w:p>
    <w:p w:rsidR="00B47D85" w:rsidRPr="002B2BAE" w:rsidRDefault="00B47D85" w:rsidP="00B47D85">
      <w:pPr>
        <w:rPr>
          <w:rStyle w:val="Network-bodytext"/>
          <w:rFonts w:eastAsia="Calibri"/>
        </w:rPr>
      </w:pPr>
      <w:r w:rsidRPr="002B2BAE">
        <w:rPr>
          <w:rStyle w:val="Network-bodytext"/>
          <w:rFonts w:eastAsia="Calibri"/>
        </w:rPr>
        <w:t xml:space="preserve">On 17 October 2014 the QCA issued its draft decision on Queensland Rail's 2013 draft access undertaking (DAU) – the rules governing competition in freight services on the State's rail network. </w:t>
      </w:r>
      <w:r>
        <w:rPr>
          <w:rStyle w:val="Network-bodytext"/>
          <w:rFonts w:eastAsia="Calibri"/>
        </w:rPr>
        <w:t xml:space="preserve"> </w:t>
      </w:r>
      <w:hyperlink r:id="rId39" w:history="1">
        <w:r w:rsidRPr="004A1AE6">
          <w:rPr>
            <w:rStyle w:val="Network-bodytext"/>
            <w:rFonts w:eastAsia="Calibri"/>
            <w:b/>
          </w:rPr>
          <w:t>Read the draft decision.</w:t>
        </w:r>
      </w:hyperlink>
      <w:r w:rsidRPr="002B2BAE">
        <w:rPr>
          <w:rStyle w:val="Network-bodytext"/>
          <w:rFonts w:eastAsia="Calibri"/>
        </w:rPr>
        <w:t xml:space="preserve"> </w:t>
      </w:r>
    </w:p>
    <w:p w:rsidR="00B47D85" w:rsidRPr="00B47D85" w:rsidRDefault="00B47D85" w:rsidP="00B47D85">
      <w:pPr>
        <w:pStyle w:val="Heading3"/>
        <w:rPr>
          <w:rStyle w:val="Emphasis"/>
          <w:i w:val="0"/>
        </w:rPr>
      </w:pPr>
      <w:r w:rsidRPr="00B47D85">
        <w:t>Aurizon Network’s</w:t>
      </w:r>
      <w:r w:rsidRPr="00B47D85">
        <w:rPr>
          <w:i/>
        </w:rPr>
        <w:t xml:space="preserve"> </w:t>
      </w:r>
      <w:r w:rsidRPr="00B47D85">
        <w:rPr>
          <w:rStyle w:val="Emphasis"/>
          <w:i w:val="0"/>
        </w:rPr>
        <w:t xml:space="preserve">Maximum Allowable Revenue (MAR) </w:t>
      </w:r>
      <w:r w:rsidRPr="00B47D85">
        <w:t>– Draft Decision</w:t>
      </w:r>
    </w:p>
    <w:p w:rsidR="00B47D85" w:rsidRDefault="00B47D85" w:rsidP="00B47D85">
      <w:pPr>
        <w:rPr>
          <w:rStyle w:val="Network-bodytext"/>
          <w:rFonts w:eastAsia="Calibri"/>
          <w:b/>
        </w:rPr>
      </w:pPr>
      <w:r w:rsidRPr="002B2BAE">
        <w:rPr>
          <w:rStyle w:val="Network-bodytext"/>
          <w:rFonts w:eastAsia="Calibri"/>
        </w:rPr>
        <w:t xml:space="preserve">On 30 September 2014 the QCA issued its draft decision on Aurizon Network’s Aurizon Network’s Maximum Allowable Revenue (MAR) for its 2014 Draft Access Undertaking (2014 DAU). </w:t>
      </w:r>
      <w:r>
        <w:rPr>
          <w:rStyle w:val="Network-bodytext"/>
          <w:rFonts w:eastAsia="Calibri"/>
        </w:rPr>
        <w:t xml:space="preserve"> </w:t>
      </w:r>
      <w:r w:rsidRPr="002B2BAE">
        <w:rPr>
          <w:rStyle w:val="Network-bodytext"/>
          <w:rFonts w:eastAsia="Calibri"/>
        </w:rPr>
        <w:t>The MAR will determine the revenue Aurizon Network is allowed to recover from its customers during the period 2013–14 to 2016–17.</w:t>
      </w:r>
      <w:r>
        <w:rPr>
          <w:rStyle w:val="Network-bodytext"/>
          <w:rFonts w:eastAsia="Calibri"/>
        </w:rPr>
        <w:t xml:space="preserve"> </w:t>
      </w:r>
      <w:r w:rsidRPr="002B2BAE">
        <w:rPr>
          <w:rStyle w:val="Network-bodytext"/>
          <w:rFonts w:eastAsia="Calibri"/>
        </w:rPr>
        <w:t xml:space="preserve"> </w:t>
      </w:r>
      <w:hyperlink r:id="rId40" w:history="1">
        <w:r w:rsidRPr="004A1AE6">
          <w:rPr>
            <w:rStyle w:val="Network-bodytext"/>
            <w:rFonts w:eastAsia="Calibri"/>
            <w:b/>
          </w:rPr>
          <w:t>Read more about the draft decision.</w:t>
        </w:r>
      </w:hyperlink>
    </w:p>
    <w:p w:rsidR="00B7019C" w:rsidRPr="007736E1" w:rsidRDefault="00B7019C" w:rsidP="00B7019C">
      <w:pPr>
        <w:pStyle w:val="Heading2"/>
        <w:jc w:val="both"/>
      </w:pPr>
      <w:r w:rsidRPr="007736E1">
        <w:lastRenderedPageBreak/>
        <w:t>South Australia</w:t>
      </w:r>
    </w:p>
    <w:p w:rsidR="00B7019C" w:rsidRPr="007736E1" w:rsidRDefault="00B7019C" w:rsidP="00B7019C">
      <w:pPr>
        <w:pStyle w:val="Heading2"/>
        <w:jc w:val="both"/>
      </w:pPr>
      <w:r w:rsidRPr="007736E1">
        <w:t>Essential Services Commission of South Australia (ESCOSA)</w:t>
      </w:r>
    </w:p>
    <w:p w:rsidR="00B47D85" w:rsidRPr="00240346" w:rsidRDefault="00B47D85" w:rsidP="00B47D85">
      <w:pPr>
        <w:pStyle w:val="Heading3"/>
      </w:pPr>
      <w:r w:rsidRPr="00240346">
        <w:t xml:space="preserve">Economic Regulation of SA Water – Framework and Approach </w:t>
      </w:r>
    </w:p>
    <w:p w:rsidR="00B47D85" w:rsidRPr="00B30093" w:rsidRDefault="00B47D85" w:rsidP="00B47D85">
      <w:pPr>
        <w:pStyle w:val="Heading2"/>
        <w:jc w:val="both"/>
        <w:rPr>
          <w:rStyle w:val="Network-bodytext"/>
          <w:rFonts w:eastAsia="Calibri"/>
        </w:rPr>
      </w:pPr>
      <w:r w:rsidRPr="00240346">
        <w:rPr>
          <w:rStyle w:val="Network-bodytext"/>
          <w:rFonts w:eastAsia="Calibri"/>
          <w:b w:val="0"/>
        </w:rPr>
        <w:t xml:space="preserve">On 21 November 2014 the ESCOSA published the final framework and approach to regulating SA Water’s revenues and service standards for the four-year regulatory period commencing 1 July 2016. </w:t>
      </w:r>
      <w:r>
        <w:rPr>
          <w:rStyle w:val="Network-bodytext"/>
          <w:rFonts w:eastAsia="Calibri"/>
          <w:b w:val="0"/>
        </w:rPr>
        <w:t xml:space="preserve"> </w:t>
      </w:r>
      <w:hyperlink r:id="rId41" w:history="1">
        <w:r w:rsidRPr="00B30093">
          <w:rPr>
            <w:rStyle w:val="Hyperlink"/>
            <w:color w:val="595959"/>
            <w:kern w:val="36"/>
            <w:sz w:val="20"/>
            <w:u w:val="none"/>
          </w:rPr>
          <w:t>Read more about the framework.</w:t>
        </w:r>
      </w:hyperlink>
    </w:p>
    <w:p w:rsidR="00B47D85" w:rsidRPr="00240346" w:rsidRDefault="00B47D85" w:rsidP="00B47D85">
      <w:pPr>
        <w:pStyle w:val="Heading3"/>
      </w:pPr>
      <w:r w:rsidRPr="00240346">
        <w:t xml:space="preserve">Tarcoola to Darwin Railway – Ten-Year Review </w:t>
      </w:r>
    </w:p>
    <w:p w:rsidR="00B47D85" w:rsidRPr="00B30093" w:rsidRDefault="00B47D85" w:rsidP="00B47D85">
      <w:pPr>
        <w:pStyle w:val="Heading2"/>
        <w:jc w:val="both"/>
        <w:rPr>
          <w:rStyle w:val="Network-bodytext"/>
          <w:rFonts w:eastAsia="Calibri"/>
          <w:b w:val="0"/>
        </w:rPr>
      </w:pPr>
      <w:r w:rsidRPr="00240346">
        <w:rPr>
          <w:rStyle w:val="Network-bodytext"/>
          <w:rFonts w:eastAsia="Calibri"/>
          <w:b w:val="0"/>
        </w:rPr>
        <w:t xml:space="preserve">On 19 November 2014 the ESCOSA released an Issues Paper to commence the review of the revenues received from the provision of access to the Tarcoola – Darwin Railway during </w:t>
      </w:r>
      <w:r w:rsidRPr="00B30093">
        <w:rPr>
          <w:rStyle w:val="Network-bodytext"/>
          <w:rFonts w:eastAsia="Calibri"/>
          <w:b w:val="0"/>
        </w:rPr>
        <w:t xml:space="preserve">the ten-year period ending 30 June 2013.  </w:t>
      </w:r>
      <w:hyperlink r:id="rId42" w:history="1">
        <w:r w:rsidRPr="00B30093">
          <w:rPr>
            <w:rStyle w:val="Hyperlink"/>
            <w:color w:val="595959"/>
            <w:kern w:val="36"/>
            <w:sz w:val="20"/>
            <w:u w:val="none"/>
          </w:rPr>
          <w:t>Read about the review.</w:t>
        </w:r>
      </w:hyperlink>
    </w:p>
    <w:p w:rsidR="00B47D85" w:rsidRPr="00240346" w:rsidRDefault="00B47D85" w:rsidP="00B47D85">
      <w:pPr>
        <w:pStyle w:val="Heading3"/>
      </w:pPr>
      <w:r w:rsidRPr="00240346">
        <w:t>Draft Determination of the 2015-2016 Minimum Retailer Solar Feed-in Tariff – Submissions Received</w:t>
      </w:r>
    </w:p>
    <w:p w:rsidR="00B7019C" w:rsidRPr="00B47D85" w:rsidRDefault="00B47D85" w:rsidP="00B47D85">
      <w:pPr>
        <w:rPr>
          <w:rStyle w:val="Network-bodytext"/>
          <w:rFonts w:eastAsia="Calibri"/>
          <w:b/>
        </w:rPr>
      </w:pPr>
      <w:r w:rsidRPr="00B47D85">
        <w:rPr>
          <w:rStyle w:val="Network-bodytext"/>
          <w:rFonts w:eastAsia="Calibri"/>
        </w:rPr>
        <w:t>On 14 November 2014 the ESCOSA announced that it has received submissions on the Draft Determination of the 2015-2016 Minimum Retailer Solar Feed-in Tariff and will be making its Final Determination in December 2014.</w:t>
      </w:r>
      <w:r w:rsidRPr="00240346">
        <w:rPr>
          <w:rStyle w:val="Network-bodytext"/>
          <w:rFonts w:eastAsia="Calibri"/>
          <w:b/>
        </w:rPr>
        <w:t xml:space="preserve"> </w:t>
      </w:r>
      <w:r>
        <w:rPr>
          <w:rStyle w:val="Network-bodytext"/>
          <w:rFonts w:eastAsia="Calibri"/>
          <w:b/>
        </w:rPr>
        <w:t xml:space="preserve"> </w:t>
      </w:r>
      <w:hyperlink r:id="rId43" w:history="1">
        <w:r w:rsidRPr="00B47D85">
          <w:rPr>
            <w:rStyle w:val="Hyperlink"/>
            <w:b/>
            <w:color w:val="595959"/>
            <w:kern w:val="36"/>
            <w:u w:val="none"/>
          </w:rPr>
          <w:t>Read about the draft determination.</w:t>
        </w:r>
      </w:hyperlink>
    </w:p>
    <w:p w:rsidR="00B7019C" w:rsidRPr="007736E1" w:rsidRDefault="00B7019C" w:rsidP="00B7019C">
      <w:pPr>
        <w:pStyle w:val="Heading2"/>
        <w:jc w:val="both"/>
      </w:pPr>
      <w:r w:rsidRPr="007736E1">
        <w:t>Tasmania</w:t>
      </w:r>
    </w:p>
    <w:p w:rsidR="00B7019C" w:rsidRPr="007736E1" w:rsidRDefault="00B7019C" w:rsidP="00B7019C">
      <w:pPr>
        <w:pStyle w:val="Heading2"/>
        <w:jc w:val="both"/>
      </w:pPr>
      <w:r w:rsidRPr="007736E1">
        <w:t>Office of the Tasmanian Economic Regulator (OTTER)</w:t>
      </w:r>
    </w:p>
    <w:p w:rsidR="00753CFC" w:rsidRPr="006126AB" w:rsidRDefault="00753CFC" w:rsidP="00753CFC">
      <w:pPr>
        <w:pStyle w:val="Heading3"/>
      </w:pPr>
      <w:r w:rsidRPr="006126AB">
        <w:t>TasWater Proposed Price and Service Plan</w:t>
      </w:r>
    </w:p>
    <w:p w:rsidR="00B7019C" w:rsidRDefault="00753CFC" w:rsidP="00753CFC">
      <w:pPr>
        <w:rPr>
          <w:rStyle w:val="Network-bodytext"/>
          <w:rFonts w:eastAsia="Calibri"/>
          <w:b/>
        </w:rPr>
      </w:pPr>
      <w:r w:rsidRPr="00753CFC">
        <w:rPr>
          <w:rStyle w:val="Network-bodytext"/>
          <w:rFonts w:eastAsia="Calibri"/>
        </w:rPr>
        <w:t>On 3 October 2014 TasWater provided copies of the required draft policies with respect to Service Extension and Expansion, Water Metering, Service Introduction Charges and Developer Charges.</w:t>
      </w:r>
      <w:r w:rsidRPr="006126AB">
        <w:rPr>
          <w:rStyle w:val="Network-bodytext"/>
          <w:rFonts w:eastAsia="Calibri"/>
          <w:b/>
        </w:rPr>
        <w:t xml:space="preserve"> </w:t>
      </w:r>
      <w:r w:rsidR="00CA643B">
        <w:rPr>
          <w:rStyle w:val="Network-bodytext"/>
          <w:rFonts w:eastAsia="Calibri"/>
          <w:b/>
        </w:rPr>
        <w:t xml:space="preserve"> </w:t>
      </w:r>
      <w:r>
        <w:rPr>
          <w:rStyle w:val="Network-bodytext"/>
          <w:rFonts w:eastAsia="Calibri"/>
          <w:b/>
        </w:rPr>
        <w:t xml:space="preserve"> </w:t>
      </w:r>
      <w:hyperlink r:id="rId44" w:anchor="On%203%20October%202014%2C%20TasWater%20provi" w:history="1">
        <w:r w:rsidRPr="00753CFC">
          <w:rPr>
            <w:rStyle w:val="Network-bodytext"/>
            <w:rFonts w:eastAsia="Calibri"/>
            <w:b/>
          </w:rPr>
          <w:t>Read about the proposed plan.</w:t>
        </w:r>
      </w:hyperlink>
    </w:p>
    <w:p w:rsidR="00B7019C" w:rsidRPr="00CA643B" w:rsidRDefault="00B7019C" w:rsidP="00CA643B">
      <w:pPr>
        <w:pStyle w:val="Heading2"/>
      </w:pPr>
      <w:r w:rsidRPr="00CA643B">
        <w:lastRenderedPageBreak/>
        <w:t>Victoria</w:t>
      </w:r>
    </w:p>
    <w:p w:rsidR="00B7019C" w:rsidRPr="00CA643B" w:rsidRDefault="00B7019C" w:rsidP="00CA643B">
      <w:pPr>
        <w:pStyle w:val="Heading2"/>
      </w:pPr>
      <w:r w:rsidRPr="00CA643B">
        <w:t>Essential Services Commission (ESC)</w:t>
      </w:r>
    </w:p>
    <w:p w:rsidR="00F412C2" w:rsidRDefault="00F412C2" w:rsidP="00F412C2">
      <w:pPr>
        <w:pStyle w:val="Heading3"/>
      </w:pPr>
      <w:r>
        <w:t>Energy Retailers Compliance Report 2012-13</w:t>
      </w:r>
    </w:p>
    <w:p w:rsidR="00F412C2" w:rsidRPr="00F412C2" w:rsidRDefault="00F412C2" w:rsidP="00F412C2">
      <w:pPr>
        <w:pStyle w:val="Heading3"/>
        <w:rPr>
          <w:rStyle w:val="Network-bodytext"/>
          <w:rFonts w:eastAsia="Calibri"/>
        </w:rPr>
      </w:pPr>
      <w:r w:rsidRPr="00277B27">
        <w:rPr>
          <w:rStyle w:val="Network-bodytext"/>
          <w:rFonts w:eastAsia="Calibri"/>
          <w:b w:val="0"/>
        </w:rPr>
        <w:t>On 13 October 2014 the ESC issued its Energy Retailers Compliance Report for 2013-14.</w:t>
      </w:r>
      <w:r w:rsidR="002929E5">
        <w:rPr>
          <w:rStyle w:val="Network-bodytext"/>
          <w:rFonts w:eastAsia="Calibri"/>
          <w:b w:val="0"/>
        </w:rPr>
        <w:t xml:space="preserve"> </w:t>
      </w:r>
      <w:r w:rsidRPr="00277B27">
        <w:rPr>
          <w:rStyle w:val="Network-bodytext"/>
          <w:rFonts w:eastAsia="Calibri"/>
          <w:b w:val="0"/>
        </w:rPr>
        <w:t xml:space="preserve"> </w:t>
      </w:r>
      <w:hyperlink r:id="rId45" w:history="1">
        <w:r w:rsidRPr="00F412C2">
          <w:rPr>
            <w:rStyle w:val="Hyperlink"/>
            <w:color w:val="595959"/>
            <w:kern w:val="36"/>
            <w:sz w:val="20"/>
            <w:u w:val="none"/>
          </w:rPr>
          <w:t>Read the report.</w:t>
        </w:r>
      </w:hyperlink>
      <w:r w:rsidRPr="00F412C2">
        <w:rPr>
          <w:rStyle w:val="Network-bodytext"/>
          <w:rFonts w:eastAsia="Calibri"/>
        </w:rPr>
        <w:t xml:space="preserve"> </w:t>
      </w:r>
    </w:p>
    <w:p w:rsidR="00753CFC" w:rsidRPr="00E44876" w:rsidRDefault="00753CFC" w:rsidP="00753CFC">
      <w:pPr>
        <w:pStyle w:val="Heading3"/>
      </w:pPr>
      <w:r w:rsidRPr="00E44876">
        <w:t xml:space="preserve">Review of Victorian Ports Regulation 2014 Final Report  </w:t>
      </w:r>
    </w:p>
    <w:p w:rsidR="00753CFC" w:rsidRPr="00E44876" w:rsidRDefault="00753CFC" w:rsidP="00753CFC">
      <w:pPr>
        <w:pStyle w:val="Heading2"/>
        <w:jc w:val="both"/>
        <w:rPr>
          <w:rStyle w:val="Network-bodytext"/>
          <w:rFonts w:eastAsia="Calibri"/>
          <w:b w:val="0"/>
        </w:rPr>
      </w:pPr>
      <w:r w:rsidRPr="00E44876">
        <w:rPr>
          <w:rStyle w:val="Network-bodytext"/>
          <w:rFonts w:eastAsia="Calibri"/>
          <w:b w:val="0"/>
        </w:rPr>
        <w:t>See ‘Notes on Interesting Decisions’.</w:t>
      </w:r>
    </w:p>
    <w:p w:rsidR="00B7019C" w:rsidRPr="007736E1" w:rsidRDefault="00B7019C" w:rsidP="00B7019C">
      <w:pPr>
        <w:pStyle w:val="Heading2"/>
        <w:jc w:val="both"/>
      </w:pPr>
      <w:r w:rsidRPr="007736E1">
        <w:t>Western Australia</w:t>
      </w:r>
    </w:p>
    <w:p w:rsidR="00B7019C" w:rsidRPr="007736E1" w:rsidRDefault="00B7019C" w:rsidP="00B7019C">
      <w:pPr>
        <w:pStyle w:val="Heading2"/>
        <w:jc w:val="both"/>
      </w:pPr>
      <w:r w:rsidRPr="007736E1">
        <w:t>Economic Regulation Authority (ERA)</w:t>
      </w:r>
    </w:p>
    <w:p w:rsidR="00A72238" w:rsidRPr="00A72238" w:rsidRDefault="00A72238" w:rsidP="00A72238">
      <w:pPr>
        <w:pStyle w:val="Heading3"/>
        <w:rPr>
          <w:rStyle w:val="Heading9Char"/>
          <w:rFonts w:cs="Times New Roman"/>
          <w:szCs w:val="20"/>
          <w:lang w:eastAsia="en-AU"/>
        </w:rPr>
      </w:pPr>
      <w:r w:rsidRPr="00A72238">
        <w:rPr>
          <w:rStyle w:val="Heading9Char"/>
          <w:rFonts w:cs="Times New Roman"/>
          <w:szCs w:val="20"/>
          <w:lang w:eastAsia="en-AU"/>
        </w:rPr>
        <w:t>Rail WACC – Revised Draft Decision and Call for Comments</w:t>
      </w:r>
    </w:p>
    <w:p w:rsidR="00A72238" w:rsidRPr="00481D95" w:rsidRDefault="00A72238" w:rsidP="00A72238">
      <w:pPr>
        <w:pStyle w:val="Heading3"/>
        <w:rPr>
          <w:rStyle w:val="Network-bodytext"/>
          <w:rFonts w:eastAsia="Calibri"/>
          <w:b w:val="0"/>
        </w:rPr>
      </w:pPr>
      <w:r w:rsidRPr="00481D95">
        <w:rPr>
          <w:rStyle w:val="Network-bodytext"/>
          <w:rFonts w:eastAsia="Calibri"/>
          <w:b w:val="0"/>
        </w:rPr>
        <w:t xml:space="preserve">On 28 November 2014 the ERA issued its Revised Draft Decision on the WACC and invited public comment.  </w:t>
      </w:r>
      <w:hyperlink r:id="rId46" w:history="1">
        <w:r w:rsidRPr="00481D95">
          <w:rPr>
            <w:rStyle w:val="Hyperlink"/>
            <w:color w:val="595959"/>
            <w:kern w:val="36"/>
            <w:sz w:val="20"/>
            <w:u w:val="none"/>
          </w:rPr>
          <w:t>Read about the revised draft decision.</w:t>
        </w:r>
      </w:hyperlink>
      <w:r w:rsidRPr="00481D95">
        <w:rPr>
          <w:rStyle w:val="Network-bodytext"/>
          <w:rFonts w:eastAsia="Calibri"/>
          <w:b w:val="0"/>
        </w:rPr>
        <w:t xml:space="preserve"> </w:t>
      </w:r>
    </w:p>
    <w:p w:rsidR="00CB2836" w:rsidRPr="00A72238" w:rsidRDefault="00CB2836" w:rsidP="00A72238">
      <w:pPr>
        <w:pStyle w:val="Heading3"/>
        <w:rPr>
          <w:rStyle w:val="Network-bodytext"/>
          <w:rFonts w:eastAsia="Calibri"/>
          <w:color w:val="31849B"/>
          <w:kern w:val="0"/>
          <w:sz w:val="22"/>
        </w:rPr>
      </w:pPr>
      <w:r w:rsidRPr="00A72238">
        <w:rPr>
          <w:rStyle w:val="Network-bodytext"/>
          <w:rFonts w:eastAsia="Calibri"/>
          <w:color w:val="31849B"/>
          <w:kern w:val="0"/>
          <w:sz w:val="22"/>
        </w:rPr>
        <w:t xml:space="preserve">Wholesale Electricity Market Discussion Paper Released </w:t>
      </w:r>
    </w:p>
    <w:p w:rsidR="00CB2836" w:rsidRPr="00B20846" w:rsidRDefault="00CB2836" w:rsidP="00CB2836">
      <w:pPr>
        <w:pStyle w:val="Heading2"/>
        <w:jc w:val="both"/>
        <w:rPr>
          <w:rStyle w:val="Network-bodytext"/>
          <w:rFonts w:eastAsia="Calibri"/>
          <w:b w:val="0"/>
        </w:rPr>
      </w:pPr>
      <w:r w:rsidRPr="00E44876">
        <w:rPr>
          <w:rStyle w:val="Network-bodytext"/>
          <w:rFonts w:eastAsia="Calibri"/>
          <w:b w:val="0"/>
        </w:rPr>
        <w:t>On 19 November 2014 the ERA announced that is seeking public comment from interested parties on any issues impacting the effectiveness of the Wholesale Electricity Market in</w:t>
      </w:r>
      <w:r w:rsidRPr="00B20846">
        <w:rPr>
          <w:rStyle w:val="Network-bodytext"/>
          <w:rFonts w:eastAsia="Calibri"/>
          <w:b w:val="0"/>
        </w:rPr>
        <w:t xml:space="preserve"> meeting the Market Objectives.  This is to assist it to prepare the 2014 report to the Minister </w:t>
      </w:r>
      <w:r w:rsidRPr="00F106B8">
        <w:rPr>
          <w:rStyle w:val="Network-bodytext"/>
          <w:rFonts w:eastAsia="Calibri"/>
          <w:b w:val="0"/>
        </w:rPr>
        <w:t xml:space="preserve">for Energy.  </w:t>
      </w:r>
      <w:hyperlink r:id="rId47" w:history="1">
        <w:r w:rsidRPr="00F106B8">
          <w:rPr>
            <w:rStyle w:val="Hyperlink"/>
            <w:color w:val="595959"/>
            <w:kern w:val="36"/>
            <w:sz w:val="20"/>
            <w:u w:val="none"/>
          </w:rPr>
          <w:t>View the 2014 Annual Wholesale Electricity Market Report to the Minister for Energy</w:t>
        </w:r>
      </w:hyperlink>
      <w:r>
        <w:rPr>
          <w:rStyle w:val="Network-bodytext"/>
          <w:rFonts w:eastAsia="Calibri"/>
        </w:rPr>
        <w:t>.</w:t>
      </w:r>
      <w:r>
        <w:rPr>
          <w:rStyle w:val="Network-bodytext"/>
          <w:rFonts w:eastAsia="Calibri"/>
          <w:b w:val="0"/>
        </w:rPr>
        <w:t xml:space="preserve"> </w:t>
      </w:r>
      <w:r w:rsidRPr="00B20846">
        <w:rPr>
          <w:rStyle w:val="Network-bodytext"/>
          <w:rFonts w:eastAsia="Calibri"/>
          <w:b w:val="0"/>
        </w:rPr>
        <w:t xml:space="preserve">   </w:t>
      </w:r>
    </w:p>
    <w:p w:rsidR="00CB2836" w:rsidRPr="00A72238" w:rsidRDefault="00CB2836" w:rsidP="00A72238">
      <w:pPr>
        <w:pStyle w:val="Heading3"/>
        <w:rPr>
          <w:rStyle w:val="Network-bodytext"/>
          <w:rFonts w:eastAsia="Calibri"/>
          <w:color w:val="31849B"/>
          <w:kern w:val="0"/>
          <w:sz w:val="22"/>
        </w:rPr>
      </w:pPr>
      <w:r w:rsidRPr="00A72238">
        <w:rPr>
          <w:rStyle w:val="Network-bodytext"/>
          <w:rFonts w:eastAsia="Calibri"/>
          <w:color w:val="31849B"/>
          <w:kern w:val="0"/>
          <w:sz w:val="22"/>
        </w:rPr>
        <w:t xml:space="preserve">Goldfields Gas Pipeline – Proposed Revised Access Arrangement </w:t>
      </w:r>
    </w:p>
    <w:p w:rsidR="00CB2836" w:rsidRPr="00B20846" w:rsidRDefault="00CB2836" w:rsidP="00CB2836">
      <w:pPr>
        <w:pStyle w:val="Heading2"/>
        <w:jc w:val="both"/>
        <w:rPr>
          <w:rStyle w:val="Network-bodytext"/>
          <w:rFonts w:eastAsia="Calibri"/>
          <w:b w:val="0"/>
        </w:rPr>
      </w:pPr>
      <w:r w:rsidRPr="00B20846">
        <w:rPr>
          <w:rStyle w:val="Network-bodytext"/>
          <w:rFonts w:eastAsia="Calibri"/>
          <w:b w:val="0"/>
        </w:rPr>
        <w:t xml:space="preserve">On 3 November 2014 the ERA published an issues paper on the proposed revised access arrangement for the Goldfields Gas Pipeline (GGP).  </w:t>
      </w:r>
      <w:hyperlink r:id="rId48" w:history="1">
        <w:r w:rsidRPr="00F106B8">
          <w:rPr>
            <w:rStyle w:val="Hyperlink"/>
            <w:color w:val="595959"/>
            <w:kern w:val="36"/>
            <w:sz w:val="20"/>
            <w:u w:val="none"/>
          </w:rPr>
          <w:t>Issues Paper on Proposed Revisions to the Goldfields Gas Pipeline Access Arrangement</w:t>
        </w:r>
      </w:hyperlink>
      <w:r w:rsidRPr="00F106B8">
        <w:rPr>
          <w:rStyle w:val="Network-bodytext"/>
          <w:rFonts w:eastAsia="Calibri"/>
        </w:rPr>
        <w:t>.</w:t>
      </w:r>
    </w:p>
    <w:p w:rsidR="00CB2836" w:rsidRPr="00EA0064" w:rsidRDefault="00CB2836" w:rsidP="00EA0064">
      <w:pPr>
        <w:pStyle w:val="Heading3"/>
        <w:rPr>
          <w:rStyle w:val="Network-bodytext"/>
          <w:rFonts w:eastAsia="Calibri"/>
          <w:color w:val="31849B"/>
          <w:kern w:val="0"/>
          <w:sz w:val="22"/>
        </w:rPr>
      </w:pPr>
      <w:r w:rsidRPr="00EA0064">
        <w:rPr>
          <w:rStyle w:val="Network-bodytext"/>
          <w:rFonts w:eastAsia="Calibri"/>
          <w:color w:val="31849B"/>
          <w:kern w:val="0"/>
          <w:sz w:val="22"/>
        </w:rPr>
        <w:t>Rail WACC Calculation 2014</w:t>
      </w:r>
    </w:p>
    <w:p w:rsidR="00CB2836" w:rsidRPr="00F106B8" w:rsidRDefault="00CB2836" w:rsidP="00CB2836">
      <w:pPr>
        <w:pStyle w:val="Heading2"/>
        <w:jc w:val="both"/>
        <w:rPr>
          <w:rStyle w:val="Network-bodytext"/>
          <w:rFonts w:eastAsia="Calibri"/>
          <w:b w:val="0"/>
        </w:rPr>
      </w:pPr>
      <w:r w:rsidRPr="00B20846">
        <w:rPr>
          <w:rStyle w:val="Network-bodytext"/>
          <w:rFonts w:eastAsia="Calibri"/>
          <w:b w:val="0"/>
        </w:rPr>
        <w:t xml:space="preserve">On 24 October 2014 the ERA announced it had calculated the weighted average cost of capital (WACC) for the Public Transport Authority, Brookfield Rail and The Pilbara Infrastructure rail networks as at 30 June 2014, as required by the Railways (Access) Code </w:t>
      </w:r>
      <w:r w:rsidRPr="00F106B8">
        <w:rPr>
          <w:rStyle w:val="Network-bodytext"/>
          <w:rFonts w:eastAsia="Calibri"/>
          <w:b w:val="0"/>
        </w:rPr>
        <w:t xml:space="preserve">2000.  </w:t>
      </w:r>
      <w:hyperlink r:id="rId49" w:history="1">
        <w:r w:rsidRPr="00F106B8">
          <w:rPr>
            <w:rStyle w:val="Hyperlink"/>
            <w:color w:val="595959"/>
            <w:kern w:val="36"/>
            <w:sz w:val="20"/>
            <w:u w:val="none"/>
          </w:rPr>
          <w:t>Read more about the WACC.</w:t>
        </w:r>
      </w:hyperlink>
      <w:r w:rsidRPr="00F106B8">
        <w:rPr>
          <w:rStyle w:val="Network-bodytext"/>
          <w:rFonts w:eastAsia="Calibri"/>
          <w:b w:val="0"/>
        </w:rPr>
        <w:t xml:space="preserve">  </w:t>
      </w:r>
    </w:p>
    <w:p w:rsidR="00CB2836" w:rsidRPr="00A72238" w:rsidRDefault="00A144B9" w:rsidP="00A72238">
      <w:pPr>
        <w:pStyle w:val="Heading3"/>
        <w:rPr>
          <w:rStyle w:val="Network-bodytext"/>
          <w:rFonts w:eastAsia="Calibri"/>
          <w:color w:val="31849B"/>
          <w:kern w:val="0"/>
          <w:sz w:val="22"/>
        </w:rPr>
      </w:pPr>
      <w:r>
        <w:rPr>
          <w:rStyle w:val="Network-bodytext"/>
          <w:rFonts w:eastAsia="Calibri"/>
          <w:color w:val="31849B"/>
          <w:kern w:val="0"/>
          <w:sz w:val="22"/>
        </w:rPr>
        <w:br w:type="column"/>
      </w:r>
      <w:r w:rsidR="00CB2836" w:rsidRPr="00A72238">
        <w:rPr>
          <w:rStyle w:val="Network-bodytext"/>
          <w:rFonts w:eastAsia="Calibri"/>
          <w:color w:val="31849B"/>
          <w:kern w:val="0"/>
          <w:sz w:val="22"/>
        </w:rPr>
        <w:lastRenderedPageBreak/>
        <w:t>Mid-West and South-West Gas Distribution Systems – Proposed Access Arrangement for Period 2014-2019</w:t>
      </w:r>
    </w:p>
    <w:p w:rsidR="00B7019C" w:rsidRPr="00965A90" w:rsidRDefault="00CB2836" w:rsidP="00CB2836">
      <w:pPr>
        <w:rPr>
          <w:rStyle w:val="Network-bodytext"/>
          <w:rFonts w:eastAsia="Calibri"/>
        </w:rPr>
      </w:pPr>
      <w:r w:rsidRPr="00F106B8">
        <w:rPr>
          <w:rStyle w:val="Network-bodytext"/>
          <w:rFonts w:eastAsia="Calibri"/>
        </w:rPr>
        <w:t>On 17 October 2014, ATCO Gas Australia Pty Ltd as the owner and operator of the Mid-West and South-West Gas Distribution Systems, submitted proposed revisions to the current access arrangement. The ERA released an issues paper to assist in the submissions</w:t>
      </w:r>
      <w:r w:rsidRPr="00B20846">
        <w:rPr>
          <w:rStyle w:val="Network-bodytext"/>
          <w:rFonts w:eastAsia="Calibri"/>
        </w:rPr>
        <w:t xml:space="preserve"> </w:t>
      </w:r>
      <w:r w:rsidRPr="00F106B8">
        <w:rPr>
          <w:rStyle w:val="Network-bodytext"/>
          <w:rFonts w:eastAsia="Calibri"/>
        </w:rPr>
        <w:t xml:space="preserve">process.  </w:t>
      </w:r>
      <w:hyperlink r:id="rId50" w:history="1">
        <w:r w:rsidRPr="00F106B8">
          <w:rPr>
            <w:rStyle w:val="Hyperlink"/>
            <w:color w:val="595959"/>
            <w:kern w:val="36"/>
            <w:u w:val="none"/>
          </w:rPr>
          <w:t>Draft Decision on Proposed Revisions to the Access Arrangement for the Mid-West and South-West Gas Distribution System, submitted by ATCO Gas Australia Pty Ltd</w:t>
        </w:r>
      </w:hyperlink>
      <w:r>
        <w:rPr>
          <w:rStyle w:val="Network-bodytext"/>
          <w:rFonts w:eastAsia="Calibri"/>
        </w:rPr>
        <w:t>.</w:t>
      </w:r>
    </w:p>
    <w:p w:rsidR="00B7019C" w:rsidRPr="007736E1" w:rsidRDefault="00B7019C" w:rsidP="00B7019C">
      <w:pPr>
        <w:pStyle w:val="Heading2"/>
        <w:jc w:val="both"/>
      </w:pPr>
      <w:bookmarkStart w:id="5" w:name="OLE_LINK1"/>
      <w:bookmarkStart w:id="6" w:name="OLE_LINK2"/>
      <w:r w:rsidRPr="007736E1">
        <w:t>New Zealand</w:t>
      </w:r>
    </w:p>
    <w:bookmarkEnd w:id="5"/>
    <w:bookmarkEnd w:id="6"/>
    <w:p w:rsidR="00B7019C" w:rsidRPr="007736E1" w:rsidRDefault="00B7019C" w:rsidP="00B7019C">
      <w:pPr>
        <w:pStyle w:val="Heading2"/>
        <w:jc w:val="both"/>
      </w:pPr>
      <w:r w:rsidRPr="007736E1">
        <w:t>New Zealand Commerce Commission (CCNZ)</w:t>
      </w:r>
    </w:p>
    <w:p w:rsidR="00A97526" w:rsidRDefault="00A97526" w:rsidP="00A97526">
      <w:pPr>
        <w:pStyle w:val="Heading3"/>
      </w:pPr>
      <w:r>
        <w:t>Prices of Copper Lines and Bitstream Access – Draft Decisions on Prices</w:t>
      </w:r>
    </w:p>
    <w:p w:rsidR="00A97526" w:rsidRPr="00481D95" w:rsidRDefault="00A97526" w:rsidP="00A97526">
      <w:pPr>
        <w:rPr>
          <w:rStyle w:val="Network-bodytext"/>
          <w:rFonts w:eastAsia="Calibri"/>
        </w:rPr>
      </w:pPr>
      <w:r w:rsidRPr="00481D95">
        <w:rPr>
          <w:rStyle w:val="Network-bodytext"/>
          <w:rFonts w:eastAsia="Calibri"/>
        </w:rPr>
        <w:t>See ‘Notes on Interesting Decisions’.</w:t>
      </w:r>
    </w:p>
    <w:p w:rsidR="00001D8B" w:rsidRDefault="00001D8B" w:rsidP="00001D8B">
      <w:pPr>
        <w:pStyle w:val="Heading3"/>
      </w:pPr>
      <w:r>
        <w:t>Liability Allocation for Telecommunications Providers – Draft Decision</w:t>
      </w:r>
    </w:p>
    <w:p w:rsidR="00001D8B" w:rsidRPr="00FB03A8" w:rsidRDefault="00001D8B" w:rsidP="00001D8B">
      <w:pPr>
        <w:rPr>
          <w:rStyle w:val="Network-bodytext"/>
          <w:rFonts w:eastAsia="Calibri"/>
        </w:rPr>
      </w:pPr>
      <w:r w:rsidRPr="00392ED1">
        <w:rPr>
          <w:rStyle w:val="Network-bodytext"/>
          <w:rFonts w:eastAsia="Calibri"/>
        </w:rPr>
        <w:t xml:space="preserve">On 12 November 2014 the CCNZ released its draft decision about how much 22 telecommunications providers will pay towards the $50 million Telecommunications </w:t>
      </w:r>
      <w:r w:rsidRPr="00FB03A8">
        <w:rPr>
          <w:rStyle w:val="Network-bodytext"/>
          <w:rFonts w:eastAsia="Calibri"/>
        </w:rPr>
        <w:t xml:space="preserve">Development Levy (TDL) for 2013-14.  </w:t>
      </w:r>
      <w:hyperlink r:id="rId51" w:history="1">
        <w:r w:rsidRPr="00B20846">
          <w:rPr>
            <w:rStyle w:val="Hyperlink"/>
            <w:b/>
            <w:color w:val="595959"/>
            <w:kern w:val="36"/>
            <w:u w:val="none"/>
          </w:rPr>
          <w:t>Read the full news article</w:t>
        </w:r>
      </w:hyperlink>
      <w:r w:rsidRPr="00B20846">
        <w:rPr>
          <w:rStyle w:val="Network-bodytext"/>
          <w:rFonts w:eastAsia="Calibri"/>
        </w:rPr>
        <w:t>.</w:t>
      </w:r>
    </w:p>
    <w:p w:rsidR="00001D8B" w:rsidRDefault="00001D8B" w:rsidP="00001D8B">
      <w:pPr>
        <w:pStyle w:val="Heading3"/>
      </w:pPr>
      <w:r>
        <w:t>Indicators for Monitoring Mobile Telecommunications Markets Updated</w:t>
      </w:r>
    </w:p>
    <w:p w:rsidR="00001D8B" w:rsidRPr="002459EA" w:rsidRDefault="00001D8B" w:rsidP="00001D8B">
      <w:pPr>
        <w:rPr>
          <w:rStyle w:val="Network-bodytext"/>
          <w:rFonts w:eastAsia="Calibri"/>
        </w:rPr>
      </w:pPr>
      <w:r w:rsidRPr="00392ED1">
        <w:rPr>
          <w:rStyle w:val="Network-bodytext"/>
          <w:rFonts w:eastAsia="Calibri"/>
        </w:rPr>
        <w:t xml:space="preserve">On 3 November 2014 the CCNZ announced its new indicators for monitoring the mobile </w:t>
      </w:r>
      <w:r w:rsidRPr="002459EA">
        <w:rPr>
          <w:rStyle w:val="Network-bodytext"/>
          <w:rFonts w:eastAsia="Calibri"/>
        </w:rPr>
        <w:t xml:space="preserve">telecommunications markets.  </w:t>
      </w:r>
      <w:hyperlink r:id="rId52" w:history="1">
        <w:r w:rsidRPr="002459EA">
          <w:rPr>
            <w:rStyle w:val="Hyperlink"/>
            <w:b/>
            <w:color w:val="595959"/>
            <w:kern w:val="36"/>
            <w:u w:val="none"/>
          </w:rPr>
          <w:t>Read the full news article</w:t>
        </w:r>
      </w:hyperlink>
      <w:r w:rsidRPr="002459EA">
        <w:rPr>
          <w:rStyle w:val="Network-bodytext"/>
          <w:rFonts w:eastAsia="Calibri"/>
        </w:rPr>
        <w:t xml:space="preserve">.   </w:t>
      </w:r>
    </w:p>
    <w:p w:rsidR="00001D8B" w:rsidRDefault="00001D8B" w:rsidP="00001D8B">
      <w:pPr>
        <w:pStyle w:val="Heading3"/>
      </w:pPr>
      <w:r>
        <w:t>Regulated Businesses’ Cost of Capital – Final Decision</w:t>
      </w:r>
    </w:p>
    <w:p w:rsidR="00001D8B" w:rsidRPr="00C47BE4" w:rsidRDefault="00001D8B" w:rsidP="00001D8B">
      <w:pPr>
        <w:rPr>
          <w:rFonts w:cs="Arial"/>
          <w:b/>
          <w:color w:val="595959"/>
          <w:sz w:val="22"/>
        </w:rPr>
      </w:pPr>
      <w:r w:rsidRPr="001110EA">
        <w:rPr>
          <w:rStyle w:val="Network-bodytext"/>
          <w:rFonts w:eastAsia="Calibri"/>
        </w:rPr>
        <w:t xml:space="preserve">On 30 October 2014 the CCNZ released its final decision on the weighted average cost of capital (WACC) used for regulated businesses.  </w:t>
      </w:r>
      <w:hyperlink r:id="rId53" w:history="1">
        <w:r w:rsidRPr="00C47BE4">
          <w:rPr>
            <w:rStyle w:val="Hyperlink"/>
            <w:b/>
            <w:color w:val="595959"/>
            <w:kern w:val="36"/>
            <w:u w:val="none"/>
          </w:rPr>
          <w:t>Read the full news article</w:t>
        </w:r>
      </w:hyperlink>
      <w:r w:rsidRPr="00C47BE4">
        <w:rPr>
          <w:rStyle w:val="Network-bodytext"/>
          <w:rFonts w:eastAsia="Calibri"/>
        </w:rPr>
        <w:t xml:space="preserve">.    </w:t>
      </w:r>
      <w:r w:rsidRPr="00C47BE4">
        <w:rPr>
          <w:rFonts w:cs="Arial"/>
          <w:b/>
          <w:color w:val="595959"/>
          <w:sz w:val="22"/>
        </w:rPr>
        <w:t xml:space="preserve">  </w:t>
      </w:r>
    </w:p>
    <w:p w:rsidR="00001D8B" w:rsidRDefault="00001D8B" w:rsidP="00001D8B">
      <w:pPr>
        <w:pStyle w:val="Heading3"/>
      </w:pPr>
      <w:r>
        <w:t>Proposed Changes to Chorus’s Regulated UBA Service – Investigation Suspended</w:t>
      </w:r>
    </w:p>
    <w:p w:rsidR="00195AB5" w:rsidRPr="00B04537" w:rsidRDefault="00001D8B" w:rsidP="00001D8B">
      <w:pPr>
        <w:rPr>
          <w:rStyle w:val="Network-bodytext"/>
          <w:rFonts w:eastAsia="Calibri"/>
        </w:rPr>
      </w:pPr>
      <w:r w:rsidRPr="00392ED1">
        <w:rPr>
          <w:rStyle w:val="Network-bodytext"/>
          <w:rFonts w:eastAsia="Calibri"/>
        </w:rPr>
        <w:t xml:space="preserve">On 16 October 2014 the CCNZ announced that it had suspended its investigation into Chorus’s proposed changes to the regulated unbundled bitstream access (UBA) service.  </w:t>
      </w:r>
      <w:hyperlink r:id="rId54" w:history="1">
        <w:r w:rsidRPr="002459EA">
          <w:rPr>
            <w:rStyle w:val="Hyperlink"/>
            <w:b/>
            <w:color w:val="595959"/>
            <w:kern w:val="36"/>
            <w:u w:val="none"/>
          </w:rPr>
          <w:t>Read the full news article</w:t>
        </w:r>
      </w:hyperlink>
      <w:r w:rsidRPr="00FB03A8">
        <w:rPr>
          <w:rStyle w:val="Network-bodytext"/>
          <w:rFonts w:eastAsia="Calibri"/>
        </w:rPr>
        <w:t>.</w:t>
      </w:r>
    </w:p>
    <w:p w:rsidR="00CE58F2" w:rsidRDefault="00B7019C" w:rsidP="00CB0302">
      <w:pPr>
        <w:rPr>
          <w:rFonts w:cs="Arial"/>
        </w:rPr>
      </w:pPr>
      <w:r w:rsidRPr="00B04537">
        <w:rPr>
          <w:rStyle w:val="Network-bodytext"/>
          <w:rFonts w:eastAsia="Calibri"/>
        </w:rPr>
        <w:t xml:space="preserve">  </w:t>
      </w:r>
      <w:r w:rsidR="00CE58F2" w:rsidRPr="00E50A73">
        <w:rPr>
          <w:rStyle w:val="Network-bodytext"/>
        </w:rPr>
        <w:br w:type="page"/>
      </w:r>
      <w:r w:rsidR="009A44DA" w:rsidRPr="00CB0302">
        <w:rPr>
          <w:rStyle w:val="Heading1Char"/>
        </w:rPr>
        <w:lastRenderedPageBreak/>
        <w:t>Notes on Interesting Decisions</w:t>
      </w:r>
    </w:p>
    <w:p w:rsidR="00104F98" w:rsidRPr="00104F98" w:rsidRDefault="00104F98" w:rsidP="00E42051">
      <w:pPr>
        <w:autoSpaceDE w:val="0"/>
        <w:autoSpaceDN w:val="0"/>
        <w:rPr>
          <w:rStyle w:val="Heading9Char"/>
          <w:rFonts w:cs="Times New Roman"/>
          <w:b/>
          <w:color w:val="31849B"/>
          <w:szCs w:val="20"/>
          <w:lang w:eastAsia="en-AU"/>
        </w:rPr>
      </w:pPr>
      <w:r w:rsidRPr="00104F98">
        <w:rPr>
          <w:rStyle w:val="Heading9Char"/>
          <w:rFonts w:cs="Times New Roman"/>
          <w:b/>
          <w:color w:val="31849B"/>
          <w:szCs w:val="20"/>
          <w:lang w:eastAsia="en-AU"/>
        </w:rPr>
        <w:t>AER Benchmarking Electricity Distribution and Transmission</w:t>
      </w:r>
    </w:p>
    <w:p w:rsidR="00280607" w:rsidRPr="00DB652F" w:rsidRDefault="00280607" w:rsidP="00280607">
      <w:pPr>
        <w:autoSpaceDE w:val="0"/>
        <w:autoSpaceDN w:val="0"/>
        <w:rPr>
          <w:rStyle w:val="Network-bodytext"/>
        </w:rPr>
      </w:pPr>
      <w:r w:rsidRPr="00DB652F">
        <w:rPr>
          <w:rFonts w:cs="Arial"/>
          <w:color w:val="595959"/>
        </w:rPr>
        <w:t xml:space="preserve">On 27 November 2014 the AER published its first </w:t>
      </w:r>
      <w:r w:rsidRPr="00DB652F">
        <w:rPr>
          <w:rStyle w:val="Network-bodytext"/>
        </w:rPr>
        <w:t>annual benchmarking reports for electricity distribution and trans</w:t>
      </w:r>
      <w:r w:rsidR="00DB652F">
        <w:rPr>
          <w:rStyle w:val="Network-bodytext"/>
        </w:rPr>
        <w:t xml:space="preserve">mission networks, respectively. </w:t>
      </w:r>
      <w:r w:rsidRPr="00DB652F">
        <w:rPr>
          <w:rStyle w:val="Network-bodytext"/>
        </w:rPr>
        <w:t xml:space="preserve"> The benchmarking reports compare the relative efficiency of network businesses, taking into account differences in their operating conditions. </w:t>
      </w:r>
      <w:r w:rsidR="00DB652F">
        <w:rPr>
          <w:rStyle w:val="Network-bodytext"/>
        </w:rPr>
        <w:t xml:space="preserve"> </w:t>
      </w:r>
      <w:r w:rsidRPr="00DB652F">
        <w:rPr>
          <w:rStyle w:val="Network-bodytext"/>
        </w:rPr>
        <w:t>The benchmarking reports contribute to the AER’s role in regulating the network businesses, providing more transparency about the performance of network businesses than previously.</w:t>
      </w:r>
      <w:r w:rsidR="00DB652F">
        <w:rPr>
          <w:rStyle w:val="Network-bodytext"/>
        </w:rPr>
        <w:t xml:space="preserve"> </w:t>
      </w:r>
      <w:r w:rsidRPr="00DB652F">
        <w:rPr>
          <w:rStyle w:val="Network-bodytext"/>
        </w:rPr>
        <w:t xml:space="preserve"> The benchmarking reports reflect a range of efficiency performance across the businesses.  Generally the Victorian and South Australian distribution networks are found to be the better performers and NSW, ACT, Queensland and Tasmanian distribution networks have performed less well.</w:t>
      </w:r>
    </w:p>
    <w:p w:rsidR="00280607" w:rsidRPr="00DB652F" w:rsidRDefault="00280607" w:rsidP="00280607">
      <w:pPr>
        <w:autoSpaceDE w:val="0"/>
        <w:autoSpaceDN w:val="0"/>
        <w:rPr>
          <w:rStyle w:val="Network-bodytext"/>
        </w:rPr>
      </w:pPr>
      <w:r w:rsidRPr="00DB652F">
        <w:rPr>
          <w:rStyle w:val="Network-bodytext"/>
        </w:rPr>
        <w:t xml:space="preserve">The benchmarking reports have been developed over three years, including intensive consultation processes, being initiated with a joint </w:t>
      </w:r>
      <w:hyperlink r:id="rId55" w:history="1">
        <w:r w:rsidR="00010101" w:rsidRPr="00DB652F">
          <w:rPr>
            <w:rStyle w:val="Hyperlink"/>
            <w:b/>
            <w:noProof w:val="0"/>
            <w:color w:val="595959"/>
            <w:kern w:val="36"/>
            <w:u w:val="none"/>
          </w:rPr>
          <w:t>ACCC/AER report on benchmarking</w:t>
        </w:r>
      </w:hyperlink>
      <w:r w:rsidR="00010101" w:rsidRPr="00DB652F">
        <w:rPr>
          <w:rStyle w:val="Network-bodytext"/>
        </w:rPr>
        <w:t xml:space="preserve"> </w:t>
      </w:r>
      <w:r w:rsidRPr="00DB652F">
        <w:rPr>
          <w:rStyle w:val="Network-bodytext"/>
        </w:rPr>
        <w:t xml:space="preserve">energy networks published in 2012. </w:t>
      </w:r>
      <w:r w:rsidR="00DB652F">
        <w:rPr>
          <w:rStyle w:val="Network-bodytext"/>
        </w:rPr>
        <w:t xml:space="preserve"> </w:t>
      </w:r>
      <w:r w:rsidRPr="00DB652F">
        <w:rPr>
          <w:rStyle w:val="Network-bodytext"/>
        </w:rPr>
        <w:t>The AER established the benchmarking and information framework under the Better Regulation Program in 2013.  Information was then collected, tested, and validated across all network businesses, and was published on the AER website.</w:t>
      </w:r>
      <w:r w:rsidR="00DB652F">
        <w:rPr>
          <w:rStyle w:val="Network-bodytext"/>
        </w:rPr>
        <w:t xml:space="preserve"> </w:t>
      </w:r>
      <w:r w:rsidRPr="00DB652F">
        <w:rPr>
          <w:rStyle w:val="Network-bodytext"/>
        </w:rPr>
        <w:t xml:space="preserve"> The AER also further engaged in extensive consultation with network businesses and other interested stakeholders, including through hosting public forums and open workshops to discuss proposed benchmarking models and data requirements.</w:t>
      </w:r>
    </w:p>
    <w:p w:rsidR="008B4809" w:rsidRDefault="00280607" w:rsidP="008B4809">
      <w:pPr>
        <w:autoSpaceDE w:val="0"/>
        <w:autoSpaceDN w:val="0"/>
        <w:rPr>
          <w:rFonts w:cs="Arial"/>
        </w:rPr>
      </w:pPr>
      <w:r w:rsidRPr="00DB652F">
        <w:rPr>
          <w:rStyle w:val="Network-bodytext"/>
        </w:rPr>
        <w:t xml:space="preserve">The overall benchmarking measures are amongst the tools the AER uses to assess the efficiency performance of network businesses and form part of the continuing process of refining the regulatory approach. </w:t>
      </w:r>
      <w:r w:rsidR="00DB652F">
        <w:rPr>
          <w:rStyle w:val="Network-bodytext"/>
        </w:rPr>
        <w:t xml:space="preserve"> </w:t>
      </w:r>
      <w:r w:rsidRPr="00DB652F">
        <w:rPr>
          <w:rStyle w:val="Network-bodytext"/>
        </w:rPr>
        <w:t xml:space="preserve">The AER has regard to benchmarking findings for the draft decisions for the ACT, NSW and Tasmanian network service providers announced on 27 November 2014. </w:t>
      </w:r>
      <w:r w:rsidR="00DB652F">
        <w:rPr>
          <w:rStyle w:val="Network-bodytext"/>
        </w:rPr>
        <w:t xml:space="preserve"> </w:t>
      </w:r>
      <w:r w:rsidRPr="00DB652F">
        <w:rPr>
          <w:rStyle w:val="Network-bodytext"/>
        </w:rPr>
        <w:t>The final decisions on the revenue proposals for these businesses will set the amounts (and therefore network charges) that can be recovered from customers.</w:t>
      </w:r>
      <w:r w:rsidR="008B4809" w:rsidRPr="00DB652F">
        <w:rPr>
          <w:rStyle w:val="Network-bodytext"/>
        </w:rPr>
        <w:t xml:space="preserve"> </w:t>
      </w:r>
      <w:hyperlink r:id="rId56" w:history="1">
        <w:r w:rsidR="008B4809" w:rsidRPr="00DB652F">
          <w:rPr>
            <w:rStyle w:val="Hyperlink"/>
            <w:rFonts w:ascii="Verdana" w:hAnsi="Verdana"/>
            <w:b/>
            <w:color w:val="595959"/>
            <w:u w:val="none"/>
            <w:lang w:val="en"/>
          </w:rPr>
          <w:t>Annual Benchmarking Report</w:t>
        </w:r>
      </w:hyperlink>
    </w:p>
    <w:p w:rsidR="00846ED2" w:rsidRPr="00846ED2" w:rsidRDefault="00846ED2" w:rsidP="00846ED2">
      <w:pPr>
        <w:pStyle w:val="Heading3"/>
        <w:rPr>
          <w:rStyle w:val="Heading9Char"/>
          <w:rFonts w:cs="Times New Roman"/>
          <w:szCs w:val="20"/>
          <w:lang w:eastAsia="en-AU"/>
        </w:rPr>
      </w:pPr>
      <w:r w:rsidRPr="00846ED2">
        <w:rPr>
          <w:rStyle w:val="Heading9Char"/>
          <w:rFonts w:cs="Times New Roman"/>
          <w:szCs w:val="20"/>
          <w:lang w:eastAsia="en-AU"/>
        </w:rPr>
        <w:t>Review of Victorian Ports Regulation 2014 – Final Report</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 xml:space="preserve">The Essential Services Commission (ESC) released its </w:t>
      </w:r>
      <w:r w:rsidRPr="005C0912">
        <w:rPr>
          <w:rStyle w:val="Network-bodytext"/>
          <w:rFonts w:eastAsia="Calibri"/>
          <w:b w:val="0"/>
          <w:i/>
        </w:rPr>
        <w:t xml:space="preserve">Review of Victorian Ports Regulation:  Final Report </w:t>
      </w:r>
      <w:r w:rsidRPr="005C0912">
        <w:rPr>
          <w:rStyle w:val="Network-bodytext"/>
          <w:rFonts w:eastAsia="Calibri"/>
          <w:b w:val="0"/>
        </w:rPr>
        <w:t xml:space="preserve">in August 2014.  The purpose of the review was to make recommendations to the Minister for </w:t>
      </w:r>
      <w:r w:rsidRPr="005C0912">
        <w:rPr>
          <w:rStyle w:val="Network-bodytext"/>
          <w:rFonts w:eastAsia="Calibri"/>
          <w:b w:val="0"/>
        </w:rPr>
        <w:lastRenderedPageBreak/>
        <w:t xml:space="preserve">Finance who administers the </w:t>
      </w:r>
      <w:r w:rsidRPr="005C0912">
        <w:rPr>
          <w:rStyle w:val="Network-bodytext"/>
          <w:rFonts w:eastAsia="Calibri"/>
          <w:b w:val="0"/>
          <w:i/>
        </w:rPr>
        <w:t>Essential Services Commission Act 2001</w:t>
      </w:r>
      <w:r>
        <w:rPr>
          <w:rStyle w:val="Network-bodytext"/>
          <w:rFonts w:eastAsia="Calibri"/>
          <w:b w:val="0"/>
        </w:rPr>
        <w:t xml:space="preserve">. </w:t>
      </w:r>
      <w:r w:rsidRPr="005C0912">
        <w:rPr>
          <w:rStyle w:val="Network-bodytext"/>
          <w:rFonts w:eastAsia="Calibri"/>
          <w:b w:val="0"/>
        </w:rPr>
        <w:t xml:space="preserve"> The recommendations concern whether or not prescribed port services should be subject to price regulation and the form of that regulation.  The review covers only those port services that are prescribed by the </w:t>
      </w:r>
      <w:r w:rsidRPr="005C0912">
        <w:rPr>
          <w:rStyle w:val="Network-bodytext"/>
          <w:rFonts w:eastAsia="Calibri"/>
          <w:b w:val="0"/>
          <w:i/>
        </w:rPr>
        <w:t>Port Management Act 1995</w:t>
      </w:r>
      <w:r w:rsidRPr="005C0912">
        <w:rPr>
          <w:rStyle w:val="Network-bodytext"/>
          <w:rFonts w:eastAsia="Calibri"/>
          <w:b w:val="0"/>
        </w:rPr>
        <w:t>.  Further, the review was conducted in the context of the existing legislative, regulatory, and ownership arrangements, and does not consider potential changes in ownership arrangements regarding the Port of Melbourne.</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 xml:space="preserve">The assessment of market power entailed analysis of the potential for competition in the provision of the prescribed services within defined markets for channel services, container and motor vehicle services.  This analysis takes into account the following factors: </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The existence of barriers to entry</w:t>
      </w:r>
      <w:r w:rsidR="00101BD3">
        <w:rPr>
          <w:rStyle w:val="Network-bodytext"/>
          <w:rFonts w:eastAsia="Calibri"/>
          <w:b w:val="0"/>
        </w:rPr>
        <w:t xml:space="preserve">: </w:t>
      </w:r>
      <w:r w:rsidRPr="005C0912">
        <w:rPr>
          <w:rStyle w:val="Network-bodytext"/>
          <w:rFonts w:eastAsia="Calibri"/>
          <w:b w:val="0"/>
        </w:rPr>
        <w:t xml:space="preserve"> obstacles to new market entry by alternative providers and may include physical, economic or regulatory barriers</w:t>
      </w:r>
      <w:r w:rsidR="008D672A">
        <w:rPr>
          <w:rStyle w:val="Network-bodytext"/>
          <w:rFonts w:eastAsia="Calibri"/>
          <w:b w:val="0"/>
        </w:rPr>
        <w:t>.</w:t>
      </w:r>
      <w:r w:rsidRPr="005C0912">
        <w:rPr>
          <w:rStyle w:val="Network-bodytext"/>
          <w:rFonts w:eastAsia="Calibri"/>
          <w:b w:val="0"/>
        </w:rPr>
        <w:t xml:space="preserve"> </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Competition between ports</w:t>
      </w:r>
      <w:r w:rsidR="00101BD3">
        <w:rPr>
          <w:rStyle w:val="Network-bodytext"/>
          <w:rFonts w:eastAsia="Calibri"/>
          <w:b w:val="0"/>
        </w:rPr>
        <w:t xml:space="preserve">: </w:t>
      </w:r>
      <w:r w:rsidRPr="005C0912">
        <w:rPr>
          <w:rStyle w:val="Network-bodytext"/>
          <w:rFonts w:eastAsia="Calibri"/>
          <w:b w:val="0"/>
        </w:rPr>
        <w:t xml:space="preserve"> the potential for rivalry between ports in providing port services, including whether there are any other services which could be used in place of the prescribed services by </w:t>
      </w:r>
      <w:r w:rsidR="00DF7CEF">
        <w:rPr>
          <w:rStyle w:val="Network-bodytext"/>
          <w:rFonts w:eastAsia="Calibri"/>
          <w:b w:val="0"/>
        </w:rPr>
        <w:t xml:space="preserve">the </w:t>
      </w:r>
      <w:r w:rsidRPr="005C0912">
        <w:rPr>
          <w:rStyle w:val="Network-bodytext"/>
          <w:rFonts w:eastAsia="Calibri"/>
          <w:b w:val="0"/>
        </w:rPr>
        <w:t xml:space="preserve">Port of Melbourne Corporation. </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Countervailing market power</w:t>
      </w:r>
      <w:r w:rsidR="00101BD3">
        <w:rPr>
          <w:rStyle w:val="Network-bodytext"/>
          <w:rFonts w:eastAsia="Calibri"/>
          <w:b w:val="0"/>
        </w:rPr>
        <w:t xml:space="preserve">: </w:t>
      </w:r>
      <w:r w:rsidRPr="005C0912">
        <w:rPr>
          <w:rStyle w:val="Network-bodytext"/>
          <w:rFonts w:eastAsia="Calibri"/>
          <w:b w:val="0"/>
        </w:rPr>
        <w:t xml:space="preserve"> whe</w:t>
      </w:r>
      <w:r w:rsidR="008D672A">
        <w:rPr>
          <w:rStyle w:val="Network-bodytext"/>
          <w:rFonts w:eastAsia="Calibri"/>
          <w:b w:val="0"/>
        </w:rPr>
        <w:t>re</w:t>
      </w:r>
      <w:r w:rsidRPr="005C0912">
        <w:rPr>
          <w:rStyle w:val="Network-bodytext"/>
          <w:rFonts w:eastAsia="Calibri"/>
          <w:b w:val="0"/>
        </w:rPr>
        <w:t xml:space="preserve"> a monopoly service provider’s customer(s) also hold some degree of market power, strengthening the customer’s bargaining position with </w:t>
      </w:r>
      <w:r w:rsidR="00DF7CEF">
        <w:rPr>
          <w:rStyle w:val="Network-bodytext"/>
          <w:rFonts w:eastAsia="Calibri"/>
          <w:b w:val="0"/>
        </w:rPr>
        <w:t xml:space="preserve">the </w:t>
      </w:r>
      <w:r w:rsidRPr="005C0912">
        <w:rPr>
          <w:rStyle w:val="Network-bodytext"/>
          <w:rFonts w:eastAsia="Calibri"/>
          <w:b w:val="0"/>
        </w:rPr>
        <w:t xml:space="preserve">Port of Melbourne Corporation.  </w:t>
      </w:r>
      <w:r w:rsidR="008D672A">
        <w:rPr>
          <w:rStyle w:val="Network-bodytext"/>
          <w:rFonts w:eastAsia="Calibri"/>
          <w:b w:val="0"/>
        </w:rPr>
        <w:t>T</w:t>
      </w:r>
      <w:r w:rsidRPr="005C0912">
        <w:rPr>
          <w:rStyle w:val="Network-bodytext"/>
          <w:rFonts w:eastAsia="Calibri"/>
          <w:b w:val="0"/>
        </w:rPr>
        <w:t>his may occur if the customer is a large or the sole user of port facilities</w:t>
      </w:r>
      <w:r w:rsidR="008D672A">
        <w:rPr>
          <w:rStyle w:val="Network-bodytext"/>
          <w:rFonts w:eastAsia="Calibri"/>
          <w:b w:val="0"/>
        </w:rPr>
        <w:t>; or</w:t>
      </w:r>
      <w:r w:rsidRPr="005C0912">
        <w:rPr>
          <w:rStyle w:val="Network-bodytext"/>
          <w:rFonts w:eastAsia="Calibri"/>
          <w:b w:val="0"/>
        </w:rPr>
        <w:t xml:space="preserve"> if the customer has the ability and/or incentive to use alternative port services. </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 xml:space="preserve">The choice between light-handed and heavy-handed economic regulation needs to take into account whether Port of Melbourne Corporation has actually exercised its substantial market power. </w:t>
      </w:r>
      <w:r w:rsidR="00DF7CEF">
        <w:rPr>
          <w:rStyle w:val="Network-bodytext"/>
          <w:rFonts w:eastAsia="Calibri"/>
          <w:b w:val="0"/>
        </w:rPr>
        <w:t xml:space="preserve"> </w:t>
      </w:r>
      <w:r w:rsidRPr="005C0912">
        <w:rPr>
          <w:rStyle w:val="Network-bodytext"/>
          <w:rFonts w:eastAsia="Calibri"/>
          <w:b w:val="0"/>
        </w:rPr>
        <w:t>To this end, the ESC assessed the available evidence regarding movements in the prices, service quality and profitability of Port of Melbourne Corporation’s prescribed services to ascertain whether there has been any misuse of Port of Melbourne Corporation’s market power, in relation to the provision of prescribed services.  The available evidence indicates that price movements have been in excess of Consumer Price Index growth but not substantially so, with the exception of the impact due to the introduction of the Port Licence Fee.  Reported service</w:t>
      </w:r>
      <w:r w:rsidR="00DF7CEF">
        <w:rPr>
          <w:rStyle w:val="Network-bodytext"/>
          <w:rFonts w:eastAsia="Calibri"/>
          <w:b w:val="0"/>
        </w:rPr>
        <w:t>-</w:t>
      </w:r>
      <w:r w:rsidRPr="005C0912">
        <w:rPr>
          <w:rStyle w:val="Network-bodytext"/>
          <w:rFonts w:eastAsia="Calibri"/>
          <w:b w:val="0"/>
        </w:rPr>
        <w:t>quality outcomes are observed either to have been stable or improved, and reported profitability does not appear to have been excessive.</w:t>
      </w:r>
    </w:p>
    <w:p w:rsidR="00846ED2" w:rsidRDefault="00DB652F" w:rsidP="00846ED2">
      <w:pPr>
        <w:pStyle w:val="Heading1"/>
        <w:spacing w:before="120" w:after="120" w:line="240" w:lineRule="auto"/>
        <w:rPr>
          <w:rStyle w:val="Network-bodytext"/>
          <w:rFonts w:eastAsia="Calibri"/>
          <w:b w:val="0"/>
        </w:rPr>
      </w:pPr>
      <w:r>
        <w:rPr>
          <w:rStyle w:val="Network-bodytext"/>
          <w:rFonts w:eastAsia="Calibri"/>
          <w:b w:val="0"/>
        </w:rPr>
        <w:br w:type="column"/>
      </w:r>
      <w:r w:rsidR="00846ED2" w:rsidRPr="005C0912">
        <w:rPr>
          <w:rStyle w:val="Network-bodytext"/>
          <w:rFonts w:eastAsia="Calibri"/>
          <w:b w:val="0"/>
        </w:rPr>
        <w:lastRenderedPageBreak/>
        <w:t xml:space="preserve">To assist further in determining the appropriate form of regulation to apply, the ESC also assessed the existing regulatory framework based on the following assessment criteria: </w:t>
      </w:r>
    </w:p>
    <w:p w:rsidR="00846ED2" w:rsidRDefault="001859C6" w:rsidP="00846ED2">
      <w:pPr>
        <w:pStyle w:val="Heading1"/>
        <w:spacing w:before="120" w:after="120" w:line="240" w:lineRule="auto"/>
        <w:rPr>
          <w:rStyle w:val="Network-bodytext"/>
          <w:rFonts w:eastAsia="Calibri"/>
          <w:b w:val="0"/>
        </w:rPr>
      </w:pPr>
      <w:r>
        <w:rPr>
          <w:rStyle w:val="Network-bodytext"/>
          <w:rFonts w:eastAsia="Calibri"/>
          <w:b w:val="0"/>
        </w:rPr>
        <w:t xml:space="preserve">Transparency: </w:t>
      </w:r>
      <w:r w:rsidR="00846ED2" w:rsidRPr="005C0912">
        <w:rPr>
          <w:rStyle w:val="Network-bodytext"/>
          <w:rFonts w:eastAsia="Calibri"/>
          <w:b w:val="0"/>
        </w:rPr>
        <w:t xml:space="preserve"> is the objective and operation of the price-monitoring framework clear? </w:t>
      </w:r>
    </w:p>
    <w:p w:rsidR="00846ED2" w:rsidRPr="005C0912" w:rsidRDefault="001859C6" w:rsidP="00846ED2">
      <w:pPr>
        <w:pStyle w:val="Heading1"/>
        <w:spacing w:before="120" w:after="120" w:line="240" w:lineRule="auto"/>
        <w:rPr>
          <w:rStyle w:val="Network-bodytext"/>
          <w:rFonts w:eastAsia="Calibri"/>
          <w:b w:val="0"/>
        </w:rPr>
      </w:pPr>
      <w:r>
        <w:rPr>
          <w:rStyle w:val="Network-bodytext"/>
          <w:rFonts w:eastAsia="Calibri"/>
          <w:b w:val="0"/>
        </w:rPr>
        <w:t xml:space="preserve">Effectiveness: </w:t>
      </w:r>
      <w:r w:rsidR="00846ED2" w:rsidRPr="005C0912">
        <w:rPr>
          <w:rStyle w:val="Network-bodytext"/>
          <w:rFonts w:eastAsia="Calibri"/>
          <w:b w:val="0"/>
        </w:rPr>
        <w:t xml:space="preserve"> is the framework appropriately addressing the regulatory problem? </w:t>
      </w:r>
    </w:p>
    <w:p w:rsidR="00846ED2" w:rsidRDefault="001859C6" w:rsidP="00846ED2">
      <w:pPr>
        <w:pStyle w:val="Heading1"/>
        <w:spacing w:before="120" w:after="120" w:line="240" w:lineRule="auto"/>
        <w:rPr>
          <w:rStyle w:val="Network-bodytext"/>
          <w:rFonts w:eastAsia="Calibri"/>
          <w:b w:val="0"/>
        </w:rPr>
      </w:pPr>
      <w:r>
        <w:rPr>
          <w:rStyle w:val="Network-bodytext"/>
          <w:rFonts w:eastAsia="Calibri"/>
          <w:b w:val="0"/>
        </w:rPr>
        <w:t xml:space="preserve">Proportionality: </w:t>
      </w:r>
      <w:r w:rsidR="00846ED2" w:rsidRPr="005C0912">
        <w:rPr>
          <w:rStyle w:val="Network-bodytext"/>
          <w:rFonts w:eastAsia="Calibri"/>
          <w:b w:val="0"/>
        </w:rPr>
        <w:t xml:space="preserve"> are the elements of the price-monitoring framework proportional to the nature of the regulatory problem, including the obligations currently placed on the Port of Melbourne Corporation under the framework? </w:t>
      </w:r>
    </w:p>
    <w:p w:rsidR="00846ED2" w:rsidRDefault="001859C6" w:rsidP="00846ED2">
      <w:pPr>
        <w:pStyle w:val="Heading1"/>
        <w:spacing w:before="120" w:after="120" w:line="240" w:lineRule="auto"/>
        <w:rPr>
          <w:rStyle w:val="Network-bodytext"/>
          <w:rFonts w:eastAsia="Calibri"/>
          <w:b w:val="0"/>
        </w:rPr>
      </w:pPr>
      <w:r>
        <w:rPr>
          <w:rStyle w:val="Network-bodytext"/>
          <w:rFonts w:eastAsia="Calibri"/>
          <w:b w:val="0"/>
        </w:rPr>
        <w:t xml:space="preserve">Accountability: </w:t>
      </w:r>
      <w:r w:rsidR="00846ED2" w:rsidRPr="005C0912">
        <w:rPr>
          <w:rStyle w:val="Network-bodytext"/>
          <w:rFonts w:eastAsia="Calibri"/>
          <w:b w:val="0"/>
        </w:rPr>
        <w:t xml:space="preserve"> does the framework provide robust governance arrangements ensur</w:t>
      </w:r>
      <w:r w:rsidR="00DF7CEF">
        <w:rPr>
          <w:rStyle w:val="Network-bodytext"/>
          <w:rFonts w:eastAsia="Calibri"/>
          <w:b w:val="0"/>
        </w:rPr>
        <w:t>ing</w:t>
      </w:r>
      <w:r w:rsidR="00846ED2" w:rsidRPr="005C0912">
        <w:rPr>
          <w:rStyle w:val="Network-bodytext"/>
          <w:rFonts w:eastAsia="Calibri"/>
          <w:b w:val="0"/>
        </w:rPr>
        <w:t xml:space="preserve"> the integrity of operation of the regime? </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 xml:space="preserve">This ESC’s assessment considered how effective the current regulatory framework has been in constraining Port of Melbourne’s exercise of its market power in providing the current prescribed services. </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Based on the ESC’s assessment of market power (available evidence of movements in the prices, service quality and profitability of Port of Melbourne’s prescribed services) and on an assessment of the current regime, the ESC considers that the continuation of a ‘light-handed’ form of economic regulation</w:t>
      </w:r>
      <w:r w:rsidR="00DF7CEF">
        <w:rPr>
          <w:rStyle w:val="Network-bodytext"/>
          <w:rFonts w:eastAsia="Calibri"/>
          <w:b w:val="0"/>
        </w:rPr>
        <w:t xml:space="preserve"> (</w:t>
      </w:r>
      <w:r w:rsidRPr="005C0912">
        <w:rPr>
          <w:rStyle w:val="Network-bodytext"/>
          <w:rFonts w:eastAsia="Calibri"/>
          <w:b w:val="0"/>
        </w:rPr>
        <w:t>namely price monitoring</w:t>
      </w:r>
      <w:r w:rsidR="00DF7CEF">
        <w:rPr>
          <w:rStyle w:val="Network-bodytext"/>
          <w:rFonts w:eastAsia="Calibri"/>
          <w:b w:val="0"/>
        </w:rPr>
        <w:t>)</w:t>
      </w:r>
      <w:r w:rsidRPr="005C0912">
        <w:rPr>
          <w:rStyle w:val="Network-bodytext"/>
          <w:rFonts w:eastAsia="Calibri"/>
          <w:b w:val="0"/>
        </w:rPr>
        <w:t xml:space="preserve"> is appropriate.  The ESC finds that there is no evidence to warrant a more heavy-handed form of regulation (for example, the ESC setting prices) being applied to the Port of Melbourne.  Accordingly, the ESC recommends that the form of regulation to apply to the prescribed services is a price-monitoring framework.</w:t>
      </w:r>
    </w:p>
    <w:p w:rsidR="00846ED2" w:rsidRDefault="00846ED2" w:rsidP="00846ED2">
      <w:pPr>
        <w:pStyle w:val="Heading1"/>
        <w:spacing w:before="120" w:after="120" w:line="240" w:lineRule="auto"/>
        <w:rPr>
          <w:rStyle w:val="Network-bodytext"/>
          <w:rFonts w:eastAsia="Calibri"/>
          <w:b w:val="0"/>
        </w:rPr>
      </w:pPr>
      <w:r w:rsidRPr="005C0912">
        <w:rPr>
          <w:rStyle w:val="Network-bodytext"/>
          <w:rFonts w:eastAsia="Calibri"/>
          <w:b w:val="0"/>
        </w:rPr>
        <w:t xml:space="preserve">The ESC contends that its recommendations represent a reduction in the regulatory burden for </w:t>
      </w:r>
      <w:r w:rsidR="00DF7CEF">
        <w:rPr>
          <w:rStyle w:val="Network-bodytext"/>
          <w:rFonts w:eastAsia="Calibri"/>
          <w:b w:val="0"/>
        </w:rPr>
        <w:t xml:space="preserve">the </w:t>
      </w:r>
      <w:r w:rsidRPr="005C0912">
        <w:rPr>
          <w:rStyle w:val="Network-bodytext"/>
          <w:rFonts w:eastAsia="Calibri"/>
          <w:b w:val="0"/>
        </w:rPr>
        <w:t xml:space="preserve">Port of Melbourne, </w:t>
      </w:r>
      <w:r w:rsidR="00F70088">
        <w:rPr>
          <w:rStyle w:val="Network-bodytext"/>
          <w:rFonts w:eastAsia="Calibri"/>
          <w:b w:val="0"/>
        </w:rPr>
        <w:t>and provide</w:t>
      </w:r>
      <w:r w:rsidRPr="005C0912">
        <w:rPr>
          <w:rStyle w:val="Network-bodytext"/>
          <w:rFonts w:eastAsia="Calibri"/>
          <w:b w:val="0"/>
        </w:rPr>
        <w:t xml:space="preserve"> regulatory clarity in relation to how prescribed services will be regulated regardless of future ownership arrangements at the </w:t>
      </w:r>
      <w:r w:rsidRPr="00DB652F">
        <w:rPr>
          <w:rStyle w:val="Network-bodytext"/>
          <w:rFonts w:eastAsia="Calibri"/>
          <w:b w:val="0"/>
        </w:rPr>
        <w:t>Port of Melbourne.</w:t>
      </w:r>
      <w:r w:rsidR="00E87E04" w:rsidRPr="00DB652F">
        <w:rPr>
          <w:rStyle w:val="Network-bodytext"/>
          <w:rFonts w:eastAsia="Calibri"/>
          <w:b w:val="0"/>
        </w:rPr>
        <w:t xml:space="preserve">  </w:t>
      </w:r>
      <w:hyperlink r:id="rId57" w:history="1">
        <w:r w:rsidR="00DB652F">
          <w:rPr>
            <w:rStyle w:val="Hyperlink"/>
            <w:rFonts w:eastAsia="Calibri"/>
            <w:noProof w:val="0"/>
            <w:color w:val="595959"/>
            <w:kern w:val="36"/>
            <w:sz w:val="20"/>
            <w:u w:val="none"/>
          </w:rPr>
          <w:t>Final Report Review of Victorian Ports Regulation</w:t>
        </w:r>
      </w:hyperlink>
      <w:r w:rsidR="008B4809">
        <w:rPr>
          <w:rStyle w:val="Network-bodytext"/>
          <w:rFonts w:eastAsia="Calibri"/>
          <w:b w:val="0"/>
        </w:rPr>
        <w:t xml:space="preserve"> </w:t>
      </w:r>
    </w:p>
    <w:p w:rsidR="00034FA5" w:rsidRDefault="00034FA5" w:rsidP="00034FA5">
      <w:pPr>
        <w:pStyle w:val="Heading3"/>
      </w:pPr>
      <w:r>
        <w:t>Pricing of Unbundled Copper Lines and Bitstream Access – New Zealand</w:t>
      </w:r>
    </w:p>
    <w:p w:rsidR="00034FA5" w:rsidRPr="00481D95" w:rsidRDefault="00034FA5" w:rsidP="00034FA5">
      <w:pPr>
        <w:rPr>
          <w:rStyle w:val="Network-bodytext"/>
          <w:rFonts w:eastAsia="Calibri"/>
        </w:rPr>
      </w:pPr>
      <w:r w:rsidRPr="00481D95">
        <w:rPr>
          <w:rStyle w:val="Network-bodytext"/>
          <w:rFonts w:eastAsia="Calibri"/>
        </w:rPr>
        <w:t xml:space="preserve">On 2 December 2014 the Commerce Commission of New Zealand (CCNZ) released draft decisions for consultation setting proposed prices that Chorus can charge for use of its local copper lines (unbundled copper local loop, UCLL) and broadband service (unbundled bitstream access, UBA). </w:t>
      </w:r>
      <w:r>
        <w:rPr>
          <w:rStyle w:val="Network-bodytext"/>
          <w:rFonts w:eastAsia="Calibri"/>
        </w:rPr>
        <w:t xml:space="preserve"> </w:t>
      </w:r>
      <w:r w:rsidRPr="00481D95">
        <w:rPr>
          <w:rStyle w:val="Network-bodytext"/>
          <w:rFonts w:eastAsia="Calibri"/>
        </w:rPr>
        <w:t xml:space="preserve">These are wholesale prices that Chorus charges retailers of telecommunications services.  The proposed maximum monthly rental price that Chorus can charge for its unbundled copper local loop (UCLL) is $28.22, an increase on the current price of $23.52 </w:t>
      </w:r>
      <w:r w:rsidRPr="00481D95">
        <w:rPr>
          <w:rStyle w:val="Network-bodytext"/>
          <w:rFonts w:eastAsia="Calibri"/>
        </w:rPr>
        <w:lastRenderedPageBreak/>
        <w:t>that was established by international benchmarking at the end of 2012.  The additional proposed maximum monthly rental price for the UBA service is $10.17, a decrease on the price of $10.92 that was established by benchmarking at the end of 2013, and which came into force on 1 December 2014.  The total proposed wholesale price for the UBA service will therefore be $38.39 per month, compared to the price that came into effect on 1 December 2014 of $34.44 per month.  Prior to 1 December 2014, $44.98 per month was the price Chorus could charge for the UBA service.</w:t>
      </w:r>
    </w:p>
    <w:p w:rsidR="00034FA5" w:rsidRPr="00481D95" w:rsidRDefault="00034FA5" w:rsidP="00034FA5">
      <w:pPr>
        <w:rPr>
          <w:rStyle w:val="Network-bodytext"/>
          <w:rFonts w:eastAsia="Calibri"/>
        </w:rPr>
      </w:pPr>
      <w:r w:rsidRPr="00481D95">
        <w:rPr>
          <w:rStyle w:val="Network-bodytext"/>
          <w:rFonts w:eastAsia="Calibri"/>
        </w:rPr>
        <w:t>To determine these proposed monthly rental prices, the CCNZ is required—under the legislation—to develop a ‘forward looking’ cost model (called a TSLRIC model).  This involves costing an efficient modern technology network that could deliver all the regulated UCLL and UBA services that Chorus currently provides.  TSLRIC modelling is used in a number of European countries to set regulated prices for copper-based telecommunications services.  The CCNZ has engaged the French consultancy, TERA, to develop the model.  As this is the first time the CCNZ has undertaken a comprehensive modelling exercise, it is seeking industry’s views on the model it has built and the reasoning behind its modelling choices.  (Previously these prices had been determined by an international benchmarking process.)</w:t>
      </w:r>
    </w:p>
    <w:p w:rsidR="00034FA5" w:rsidRPr="00481D95" w:rsidRDefault="00034FA5" w:rsidP="00034FA5">
      <w:pPr>
        <w:rPr>
          <w:rStyle w:val="Network-bodytext"/>
          <w:rFonts w:eastAsia="Calibri"/>
        </w:rPr>
      </w:pPr>
      <w:r w:rsidRPr="00481D95">
        <w:rPr>
          <w:rStyle w:val="Network-bodytext"/>
          <w:rFonts w:eastAsia="Calibri"/>
        </w:rPr>
        <w:t xml:space="preserve">In December 2013, the CCNZ published a process and issues paper on UCLL which set out the framework for modelling the UCLL service, and a number of modelling issues. </w:t>
      </w:r>
      <w:r>
        <w:rPr>
          <w:rStyle w:val="Network-bodytext"/>
          <w:rFonts w:eastAsia="Calibri"/>
        </w:rPr>
        <w:t xml:space="preserve"> </w:t>
      </w:r>
      <w:r w:rsidRPr="00481D95">
        <w:rPr>
          <w:rStyle w:val="Network-bodytext"/>
          <w:rFonts w:eastAsia="Calibri"/>
        </w:rPr>
        <w:t>The CCNZ also hosted an industry workshop on these initial processes.  In February 2014, the CCNZ published a process and consultation issues paper on UBA.  In March 2014, the CCNZ published further consultation papers on topics including backdating and modern asset equivalents and a technical consultation paper on the cost of capital.  The CCNZ also hosted an industry workshop on TSLRIC.  In April 2014, the CCNZ held a workshop where its consultants, TERA, explained the modelling approach to industry.  In June 2014, the CCNZ published the TERA Literature Review and expert reports from Oxera, Dr Martin Lally on WACC and Professor Vogelsang on TSLRIC and the promotion of competition.  In July 2014, the CCNZ published a consultation paper relating to the cost models.  In September 2014, the CCNZ published an open letter on the process for 2015 and also a consultation paper on Service Transaction Charges.</w:t>
      </w:r>
    </w:p>
    <w:p w:rsidR="00034FA5" w:rsidRPr="00481D95" w:rsidRDefault="00034FA5" w:rsidP="00034FA5">
      <w:pPr>
        <w:rPr>
          <w:rStyle w:val="Network-bodytext"/>
          <w:rFonts w:eastAsia="Calibri"/>
        </w:rPr>
      </w:pPr>
      <w:r w:rsidRPr="00481D95">
        <w:rPr>
          <w:rStyle w:val="Network-bodytext"/>
          <w:rFonts w:eastAsia="Calibri"/>
        </w:rPr>
        <w:t xml:space="preserve">The CCNZ states that it has taken an orthodox approach to TSLRIC modelling to promote as predictable a regulatory environment as possible.  For the key input assumptions the CCNZ sought </w:t>
      </w:r>
      <w:r w:rsidRPr="00481D95">
        <w:rPr>
          <w:rStyle w:val="Network-bodytext"/>
          <w:rFonts w:eastAsia="Calibri"/>
        </w:rPr>
        <w:lastRenderedPageBreak/>
        <w:t>advice from independent sources, for example, Beca for civil infrastructure costs, Landcare Research and Corelogic for geospatial data, and Oxera Consulting and Dr Martin Lally for the cost of capital.  The modelled price of UBA in the draft release is similar to the benchmark price, and the modelled UCLL price is higher.  There CCNZ notes that there appear to be ‘uniquely New Zealand factors, such as the dispersed nature of the rural network, that may differentiate our UCLL prices from the overseas benchmarks’.</w:t>
      </w:r>
    </w:p>
    <w:p w:rsidR="00034FA5" w:rsidRPr="00481D95" w:rsidRDefault="00233FD8" w:rsidP="00034FA5">
      <w:pPr>
        <w:rPr>
          <w:rStyle w:val="Network-bodytext"/>
          <w:rFonts w:eastAsia="Calibri"/>
        </w:rPr>
      </w:pPr>
      <w:hyperlink r:id="rId58" w:history="1">
        <w:r w:rsidR="00034FA5" w:rsidRPr="00DB652F">
          <w:rPr>
            <w:rStyle w:val="Hyperlink"/>
            <w:rFonts w:eastAsia="Calibri"/>
            <w:b/>
            <w:noProof w:val="0"/>
            <w:color w:val="595959"/>
            <w:kern w:val="36"/>
            <w:u w:val="none"/>
          </w:rPr>
          <w:t>The CCNZ is seeking submissions</w:t>
        </w:r>
      </w:hyperlink>
      <w:r w:rsidR="00034FA5" w:rsidRPr="00DB652F">
        <w:rPr>
          <w:rStyle w:val="Network-bodytext"/>
          <w:rFonts w:eastAsia="Calibri"/>
        </w:rPr>
        <w:t xml:space="preserve"> from interested</w:t>
      </w:r>
      <w:r w:rsidR="00034FA5" w:rsidRPr="00481D95">
        <w:rPr>
          <w:rStyle w:val="Network-bodytext"/>
          <w:rFonts w:eastAsia="Calibri"/>
        </w:rPr>
        <w:t xml:space="preserve"> parties on both draft decisions by Friday 23 January 2015.  The earliest that the final UBA price could apply from is 1 December 2014, which is when the benchmarked price came into effect. The CCNZ is seeking views from submitters on whether the final UCLL price should be backdated.</w:t>
      </w:r>
    </w:p>
    <w:p w:rsidR="00034FA5" w:rsidRPr="00034FA5" w:rsidRDefault="00034FA5" w:rsidP="00034FA5">
      <w:pPr>
        <w:pStyle w:val="Heading2"/>
        <w:rPr>
          <w:rFonts w:eastAsia="Calibri"/>
          <w:color w:val="595959"/>
        </w:rPr>
      </w:pPr>
    </w:p>
    <w:p w:rsidR="00D20B25" w:rsidRPr="0043791D" w:rsidRDefault="00CE58F2" w:rsidP="00B83AFC">
      <w:pPr>
        <w:pStyle w:val="Heading1"/>
      </w:pPr>
      <w:r>
        <w:br w:type="page"/>
      </w:r>
      <w:r w:rsidR="00D20B25" w:rsidRPr="0043791D">
        <w:lastRenderedPageBreak/>
        <w:t>Regulatory News</w:t>
      </w:r>
    </w:p>
    <w:p w:rsidR="00684D30" w:rsidRPr="00994705" w:rsidRDefault="00333297" w:rsidP="00684D30">
      <w:pPr>
        <w:pStyle w:val="Heading3"/>
      </w:pPr>
      <w:r>
        <w:t xml:space="preserve">ACCC/AER </w:t>
      </w:r>
      <w:r w:rsidR="00832659">
        <w:t>Regulat</w:t>
      </w:r>
      <w:r>
        <w:t>ory</w:t>
      </w:r>
      <w:r w:rsidR="00832659">
        <w:t xml:space="preserve"> Conference 2015</w:t>
      </w:r>
    </w:p>
    <w:p w:rsidR="00D77463" w:rsidRPr="00A32614" w:rsidRDefault="00403A63" w:rsidP="00D77463">
      <w:pPr>
        <w:pStyle w:val="StyleGray-65LinespacingsinglePatternClearWhite"/>
        <w:rPr>
          <w:rStyle w:val="Network-bodytext"/>
        </w:rPr>
      </w:pPr>
      <w:r w:rsidRPr="00B3110B">
        <w:rPr>
          <w:rStyle w:val="Network-bodytext"/>
        </w:rPr>
        <w:t>The</w:t>
      </w:r>
      <w:r w:rsidR="00832659">
        <w:rPr>
          <w:rStyle w:val="Network-bodytext"/>
        </w:rPr>
        <w:t xml:space="preserve"> </w:t>
      </w:r>
      <w:r w:rsidR="00333297">
        <w:rPr>
          <w:rStyle w:val="Network-bodytext"/>
        </w:rPr>
        <w:t>ACCC/AER</w:t>
      </w:r>
      <w:r w:rsidR="00832659">
        <w:rPr>
          <w:rStyle w:val="Network-bodytext"/>
        </w:rPr>
        <w:t xml:space="preserve"> will hold</w:t>
      </w:r>
      <w:r w:rsidR="00333297">
        <w:rPr>
          <w:rStyle w:val="Network-bodytext"/>
        </w:rPr>
        <w:t xml:space="preserve"> its sixteenth </w:t>
      </w:r>
      <w:r w:rsidR="00832659">
        <w:rPr>
          <w:rStyle w:val="Network-bodytext"/>
        </w:rPr>
        <w:t>Regulato</w:t>
      </w:r>
      <w:r w:rsidR="00333297">
        <w:rPr>
          <w:rStyle w:val="Network-bodytext"/>
        </w:rPr>
        <w:t>ry</w:t>
      </w:r>
      <w:r w:rsidR="00832659">
        <w:rPr>
          <w:rStyle w:val="Network-bodytext"/>
        </w:rPr>
        <w:t xml:space="preserve"> Conference in </w:t>
      </w:r>
      <w:r w:rsidR="00333297">
        <w:rPr>
          <w:rStyle w:val="Network-bodytext"/>
        </w:rPr>
        <w:t xml:space="preserve">Brisbane on 6 and 7 August </w:t>
      </w:r>
      <w:r w:rsidR="004E76AD">
        <w:rPr>
          <w:rStyle w:val="Network-bodytext"/>
        </w:rPr>
        <w:t>2015.</w:t>
      </w:r>
      <w:r w:rsidR="005C1500">
        <w:rPr>
          <w:rStyle w:val="Network-bodytext"/>
        </w:rPr>
        <w:t xml:space="preserve">  </w:t>
      </w:r>
    </w:p>
    <w:p w:rsidR="00E77FAD" w:rsidRPr="00B3110B" w:rsidRDefault="00E77FAD" w:rsidP="00B3110B">
      <w:pPr>
        <w:pStyle w:val="StyleGray-65LinespacingsinglePatternClearWhite"/>
        <w:rPr>
          <w:rStyle w:val="Network-bodytext"/>
        </w:rPr>
      </w:pPr>
    </w:p>
    <w:p w:rsidR="0015784B" w:rsidRPr="00E77FAD" w:rsidRDefault="0015784B" w:rsidP="005E428D">
      <w:pPr>
        <w:pStyle w:val="StyleGray-65LinespacingsinglePatternClearWhite"/>
      </w:pPr>
    </w:p>
    <w:p w:rsidR="00283099" w:rsidRDefault="00283099" w:rsidP="005E428D">
      <w:pPr>
        <w:pStyle w:val="StyleGray-65LinespacingsinglePatternClearWhite"/>
        <w:rPr>
          <w:i/>
        </w:rPr>
      </w:pPr>
    </w:p>
    <w:p w:rsidR="00283099" w:rsidRPr="00283099" w:rsidRDefault="00233FD8" w:rsidP="005E428D">
      <w:pPr>
        <w:pStyle w:val="StyleGray-65LinespacingsinglePatternClearWhite"/>
      </w:pPr>
      <w:r>
        <w:rPr>
          <w:noProof/>
        </w:rPr>
        <w:pict>
          <v:rect id="_x0000_s1473" style="position:absolute;left:0;text-align:left;margin-left:-2.05pt;margin-top:7.25pt;width:502.15pt;height:57.85pt;z-index:251659264" fillcolor="silver" strokecolor="#969696"/>
        </w:pict>
      </w:r>
      <w:r>
        <w:rPr>
          <w:noProof/>
        </w:rPr>
        <w:pict>
          <v:shape id="_x0000_s1474" type="#_x0000_t202" style="position:absolute;left:0;text-align:left;margin-left:-2.05pt;margin-top:7.25pt;width:502.15pt;height:57.85pt;z-index:251660288" fillcolor="silver" strokecolor="#969696">
            <v:textbox style="mso-next-textbox:#_x0000_s1474">
              <w:txbxContent>
                <w:p w:rsidR="00154D54" w:rsidRPr="00656DCD" w:rsidRDefault="00154D54">
                  <w:pPr>
                    <w:rPr>
                      <w:rStyle w:val="Network-bodytext"/>
                    </w:rPr>
                  </w:pPr>
                  <w:r w:rsidRPr="00FE2802">
                    <w:rPr>
                      <w:rStyle w:val="Network-bodytext"/>
                      <w:rFonts w:eastAsiaTheme="minorHAnsi"/>
                      <w:i/>
                    </w:rPr>
                    <w:t>Network</w:t>
                  </w:r>
                  <w:r w:rsidRPr="00656DCD">
                    <w:rPr>
                      <w:rStyle w:val="Network-bodytext"/>
                      <w:rFonts w:eastAsiaTheme="minorHAnsi"/>
                    </w:rPr>
                    <w:t xml:space="preserve"> is a quarterly publication of the Australian Competition and Consumer Commission for the Utility Regulators Forum.  For editorial enquiries please contact Rob Albon (</w:t>
                  </w:r>
                  <w:hyperlink r:id="rId59" w:history="1">
                    <w:r w:rsidRPr="00656DCD">
                      <w:rPr>
                        <w:rStyle w:val="Network-bodytext"/>
                        <w:rFonts w:eastAsiaTheme="minorHAnsi"/>
                      </w:rPr>
                      <w:t>Robert.Albon@accc.gov.au</w:t>
                    </w:r>
                  </w:hyperlink>
                  <w:r w:rsidRPr="00656DCD">
                    <w:rPr>
                      <w:rStyle w:val="Network-bodytext"/>
                      <w:rFonts w:eastAsiaTheme="minorHAnsi"/>
                    </w:rPr>
                    <w:t>) and for mailing list enquiries please contact Genevieve Pound (</w:t>
                  </w:r>
                  <w:hyperlink r:id="rId60" w:history="1">
                    <w:r w:rsidRPr="00656DCD">
                      <w:rPr>
                        <w:rStyle w:val="Network-bodytext"/>
                        <w:rFonts w:eastAsiaTheme="minorHAnsi"/>
                      </w:rPr>
                      <w:t>Genevieve.Pound@accc.gov.au</w:t>
                    </w:r>
                  </w:hyperlink>
                  <w:r w:rsidRPr="00656DCD">
                    <w:rPr>
                      <w:rStyle w:val="Network-bodytext"/>
                      <w:rFonts w:eastAsiaTheme="minorHAnsi"/>
                    </w:rPr>
                    <w:t>).</w:t>
                  </w:r>
                </w:p>
              </w:txbxContent>
            </v:textbox>
          </v:shape>
        </w:pict>
      </w:r>
    </w:p>
    <w:sectPr w:rsidR="00283099" w:rsidRPr="00283099" w:rsidSect="006C2364">
      <w:footerReference w:type="even" r:id="rId61"/>
      <w:footerReference w:type="default" r:id="rId62"/>
      <w:endnotePr>
        <w:numFmt w:val="decimal"/>
      </w:endnotePr>
      <w:type w:val="continuous"/>
      <w:pgSz w:w="11906" w:h="16838" w:code="9"/>
      <w:pgMar w:top="1985" w:right="851" w:bottom="1134" w:left="851" w:header="567" w:footer="567" w:gutter="0"/>
      <w:cols w:num="2" w:space="708" w:equalWidth="0">
        <w:col w:w="4748" w:space="708"/>
        <w:col w:w="4748"/>
      </w:cols>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54D54" w:rsidRDefault="00154D54">
      <w:r>
        <w:separator/>
      </w:r>
    </w:p>
  </w:endnote>
  <w:endnote w:type="continuationSeparator" w:id="0">
    <w:p w:rsidR="00154D54" w:rsidRDefault="00154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54" w:rsidRDefault="00154D54" w:rsidP="0039781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54D54" w:rsidRDefault="00154D54" w:rsidP="003978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54" w:rsidRPr="00131260" w:rsidRDefault="00154D54"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A27141">
      <w:rPr>
        <w:rStyle w:val="PageNumber"/>
        <w:noProof/>
      </w:rPr>
      <w:t>5</w:t>
    </w:r>
    <w:r w:rsidRPr="00131260">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54" w:rsidRPr="00131260" w:rsidRDefault="00154D54" w:rsidP="00C35BCF">
    <w:pPr>
      <w:pStyle w:val="Networkfooter"/>
      <w:rPr>
        <w:rFonts w:eastAsia="Calibri"/>
      </w:rPr>
    </w:pPr>
    <w:r w:rsidRPr="00C35BCF">
      <w:rPr>
        <w:rFonts w:eastAsia="Calibri"/>
      </w:rPr>
      <w:t>*</w:t>
    </w:r>
    <w:r w:rsidR="00C35BCF" w:rsidRPr="00C35BCF">
      <w:rPr>
        <w:rStyle w:val="Network-bodytext"/>
        <w:rFonts w:eastAsia="Calibri"/>
        <w:kern w:val="0"/>
        <w:sz w:val="16"/>
      </w:rPr>
      <w:t>Garth Crawford is Executive Director, Economic Regulation</w:t>
    </w:r>
    <w:r w:rsidR="00156522">
      <w:rPr>
        <w:rStyle w:val="Network-bodytext"/>
        <w:rFonts w:eastAsia="Calibri"/>
        <w:kern w:val="0"/>
        <w:sz w:val="16"/>
      </w:rPr>
      <w:t>,</w:t>
    </w:r>
    <w:r w:rsidR="00C35BCF" w:rsidRPr="00C35BCF">
      <w:rPr>
        <w:rStyle w:val="Network-bodytext"/>
        <w:rFonts w:eastAsia="Calibri"/>
        <w:kern w:val="0"/>
        <w:sz w:val="16"/>
      </w:rPr>
      <w:t xml:space="preserve"> at the Energy Networks Association and the author of </w:t>
    </w:r>
    <w:r w:rsidR="00C35BCF" w:rsidRPr="00C35BCF">
      <w:rPr>
        <w:rStyle w:val="Network-bodytext"/>
        <w:rFonts w:eastAsia="Calibri"/>
        <w:i/>
        <w:kern w:val="0"/>
        <w:sz w:val="16"/>
      </w:rPr>
      <w:t>Written-Down Value? Assessing Proposals for Electricity Network Write-downs</w:t>
    </w:r>
    <w:r w:rsidR="00C35BCF" w:rsidRPr="00C35BCF">
      <w:rPr>
        <w:rStyle w:val="Network-bodytext"/>
        <w:rFonts w:eastAsia="Calibri"/>
        <w:kern w:val="0"/>
        <w:sz w:val="1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54" w:rsidRDefault="00154D54" w:rsidP="00131260">
    <w:pPr>
      <w:pStyle w:val="NetworkFooter0"/>
      <w:jc w:val="center"/>
    </w:pPr>
    <w:r>
      <w:fldChar w:fldCharType="begin"/>
    </w:r>
    <w:r>
      <w:instrText xml:space="preserve"> PAGE   \* MERGEFORMAT </w:instrText>
    </w:r>
    <w:r>
      <w:fldChar w:fldCharType="separate"/>
    </w:r>
    <w:r w:rsidR="00A27141">
      <w:rPr>
        <w:noProof/>
      </w:rPr>
      <w:t>10</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0C2D" w:rsidRDefault="00E80C2D" w:rsidP="00131260">
    <w:pPr>
      <w:pStyle w:val="Networkfooter"/>
      <w:jc w:val="center"/>
    </w:pPr>
    <w:r>
      <w:fldChar w:fldCharType="begin"/>
    </w:r>
    <w:r>
      <w:instrText xml:space="preserve"> PAGE   \* MERGEFORMAT </w:instrText>
    </w:r>
    <w:r>
      <w:fldChar w:fldCharType="separate"/>
    </w:r>
    <w:r w:rsidR="00A27141">
      <w:rPr>
        <w:noProof/>
      </w:rPr>
      <w:t>11</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FD7" w:rsidRDefault="00557FD7" w:rsidP="006A79E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557FD7" w:rsidRDefault="00557FD7" w:rsidP="006A79E4">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57FD7" w:rsidRPr="00131260" w:rsidRDefault="00557FD7" w:rsidP="00131260">
    <w:pPr>
      <w:pStyle w:val="Networkfooter"/>
      <w:jc w:val="center"/>
    </w:pPr>
    <w:r w:rsidRPr="00131260">
      <w:rPr>
        <w:rStyle w:val="PageNumber"/>
      </w:rPr>
      <w:fldChar w:fldCharType="begin"/>
    </w:r>
    <w:r w:rsidRPr="00131260">
      <w:rPr>
        <w:rStyle w:val="PageNumber"/>
      </w:rPr>
      <w:instrText xml:space="preserve">PAGE  </w:instrText>
    </w:r>
    <w:r w:rsidRPr="00131260">
      <w:rPr>
        <w:rStyle w:val="PageNumber"/>
      </w:rPr>
      <w:fldChar w:fldCharType="separate"/>
    </w:r>
    <w:r w:rsidR="00233FD8">
      <w:rPr>
        <w:rStyle w:val="PageNumber"/>
        <w:noProof/>
      </w:rPr>
      <w:t>12</w:t>
    </w:r>
    <w:r w:rsidRPr="00131260">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54D54" w:rsidRDefault="00154D54">
      <w:r>
        <w:separator/>
      </w:r>
    </w:p>
  </w:footnote>
  <w:footnote w:type="continuationSeparator" w:id="0">
    <w:p w:rsidR="00154D54" w:rsidRDefault="00154D54">
      <w:r>
        <w:continuationSeparator/>
      </w:r>
    </w:p>
  </w:footnote>
  <w:footnote w:id="1">
    <w:p w:rsidR="001F1CB7" w:rsidRPr="001F1CB7" w:rsidRDefault="001F1CB7" w:rsidP="001F1CB7">
      <w:pPr>
        <w:pStyle w:val="Networkfooter"/>
      </w:pPr>
      <w:r w:rsidRPr="001F1CB7">
        <w:rPr>
          <w:rStyle w:val="FootnoteReference"/>
          <w:rFonts w:ascii="Calibri" w:hAnsi="Calibri"/>
        </w:rPr>
        <w:footnoteRef/>
      </w:r>
      <w:r w:rsidRPr="001F1CB7">
        <w:t xml:space="preserve"> ACCC Review of the 1997 Telecommunications Access Pricing Principles for Fixed Line Services – Draft Report, September 2010, pp. 30-31 and Victorian Office of the Regulator-General Electricity Distribution Price Determination 2001-05 – Volume 1, Statement of Purpose and Reasons, September 2000, p. 322.</w:t>
      </w:r>
    </w:p>
  </w:footnote>
  <w:footnote w:id="2">
    <w:p w:rsidR="00EA54DF" w:rsidRPr="00EA54DF" w:rsidRDefault="00EA54DF" w:rsidP="00EA54DF">
      <w:pPr>
        <w:pStyle w:val="Networkfooter"/>
        <w:rPr>
          <w:sz w:val="18"/>
          <w:szCs w:val="18"/>
        </w:rPr>
      </w:pPr>
      <w:r w:rsidRPr="00EA54DF">
        <w:rPr>
          <w:rStyle w:val="FootnoteReference"/>
          <w:rFonts w:ascii="Calibri" w:hAnsi="Calibri"/>
        </w:rPr>
        <w:footnoteRef/>
      </w:r>
      <w:r w:rsidRPr="00EA54DF">
        <w:t xml:space="preserve"> National Electricity (South Australia) (New National Electricity Law) Amendment Bill 2005 - Second Reading Speech, and see also National Electricity Law, s.7.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54" w:rsidRDefault="00154D54">
    <w:r>
      <w:rPr>
        <w:noProof/>
      </w:rPr>
      <w:drawing>
        <wp:anchor distT="0" distB="0" distL="114300" distR="114300" simplePos="0" relativeHeight="251657728" behindDoc="1" locked="0" layoutInCell="1" allowOverlap="0" wp14:anchorId="7B76E38E" wp14:editId="1B04BD11">
          <wp:simplePos x="0" y="0"/>
          <wp:positionH relativeFrom="page">
            <wp:posOffset>-31115</wp:posOffset>
          </wp:positionH>
          <wp:positionV relativeFrom="page">
            <wp:posOffset>-76835</wp:posOffset>
          </wp:positionV>
          <wp:extent cx="7628255" cy="889635"/>
          <wp:effectExtent l="19050" t="0" r="0" b="0"/>
          <wp:wrapNone/>
          <wp:docPr id="1" name="Picture 1" descr="Network_v1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twork_v1_p2"/>
                  <pic:cNvPicPr>
                    <a:picLocks noChangeAspect="1" noChangeArrowheads="1"/>
                  </pic:cNvPicPr>
                </pic:nvPicPr>
                <pic:blipFill>
                  <a:blip r:embed="rId1"/>
                  <a:srcRect/>
                  <a:stretch>
                    <a:fillRect/>
                  </a:stretch>
                </pic:blipFill>
                <pic:spPr bwMode="auto">
                  <a:xfrm>
                    <a:off x="0" y="0"/>
                    <a:ext cx="7628255" cy="889635"/>
                  </a:xfrm>
                  <a:prstGeom prst="rect">
                    <a:avLst/>
                  </a:prstGeom>
                  <a:noFill/>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54" w:rsidRDefault="00154D54">
    <w:pPr>
      <w:pStyle w:val="Header"/>
    </w:pPr>
    <w:r>
      <w:rPr>
        <w:noProof/>
      </w:rPr>
      <w:drawing>
        <wp:anchor distT="0" distB="0" distL="114300" distR="114300" simplePos="0" relativeHeight="251656704" behindDoc="1" locked="0" layoutInCell="1" allowOverlap="0" wp14:anchorId="1FD60008" wp14:editId="6FCBF7FD">
          <wp:simplePos x="0" y="0"/>
          <wp:positionH relativeFrom="page">
            <wp:posOffset>-31115</wp:posOffset>
          </wp:positionH>
          <wp:positionV relativeFrom="page">
            <wp:posOffset>-76835</wp:posOffset>
          </wp:positionV>
          <wp:extent cx="7626985" cy="1790065"/>
          <wp:effectExtent l="19050" t="0" r="0" b="0"/>
          <wp:wrapNone/>
          <wp:docPr id="2" name="Picture 2" descr="Network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etwork_v1"/>
                  <pic:cNvPicPr>
                    <a:picLocks noChangeAspect="1" noChangeArrowheads="1"/>
                  </pic:cNvPicPr>
                </pic:nvPicPr>
                <pic:blipFill>
                  <a:blip r:embed="rId1"/>
                  <a:srcRect/>
                  <a:stretch>
                    <a:fillRect/>
                  </a:stretch>
                </pic:blipFill>
                <pic:spPr bwMode="auto">
                  <a:xfrm>
                    <a:off x="0" y="0"/>
                    <a:ext cx="7626985" cy="1790065"/>
                  </a:xfrm>
                  <a:prstGeom prst="rect">
                    <a:avLst/>
                  </a:prstGeom>
                  <a:noFill/>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D54" w:rsidRDefault="00233FD8">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2.45pt;margin-top:-6.05pt;width:600.65pt;height:70.05pt;z-index:-251657728;mso-position-horizontal-relative:page;mso-position-vertical-relative:page" o:allowoverlap="f">
          <v:imagedata r:id="rId1" o:title="Network_v1_p2"/>
          <w10:wrap anchorx="page" anchory="pag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816845"/>
    <w:multiLevelType w:val="hybridMultilevel"/>
    <w:tmpl w:val="F4B2E496"/>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4066C6"/>
    <w:multiLevelType w:val="multilevel"/>
    <w:tmpl w:val="21981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9025BA"/>
    <w:multiLevelType w:val="hybridMultilevel"/>
    <w:tmpl w:val="747E99C2"/>
    <w:lvl w:ilvl="0" w:tplc="2C5057B6">
      <w:start w:val="1"/>
      <w:numFmt w:val="bullet"/>
      <w:pStyle w:val="ListBullet3"/>
      <w:lvlText w:val=""/>
      <w:lvlJc w:val="left"/>
      <w:pPr>
        <w:ind w:left="1080" w:hanging="360"/>
      </w:pPr>
      <w:rPr>
        <w:rFonts w:ascii="Symbol" w:hAnsi="Symbol" w:hint="default"/>
        <w:sz w:val="22"/>
      </w:rPr>
    </w:lvl>
    <w:lvl w:ilvl="1" w:tplc="0C090003" w:tentative="1">
      <w:start w:val="1"/>
      <w:numFmt w:val="bullet"/>
      <w:lvlText w:val="o"/>
      <w:lvlJc w:val="left"/>
      <w:pPr>
        <w:tabs>
          <w:tab w:val="num" w:pos="2160"/>
        </w:tabs>
        <w:ind w:left="2160" w:hanging="360"/>
      </w:pPr>
      <w:rPr>
        <w:rFonts w:ascii="Courier New" w:hAnsi="Courier New" w:cs="Courier New" w:hint="default"/>
      </w:rPr>
    </w:lvl>
    <w:lvl w:ilvl="2" w:tplc="0C090005" w:tentative="1">
      <w:start w:val="1"/>
      <w:numFmt w:val="bullet"/>
      <w:lvlText w:val=""/>
      <w:lvlJc w:val="left"/>
      <w:pPr>
        <w:tabs>
          <w:tab w:val="num" w:pos="2880"/>
        </w:tabs>
        <w:ind w:left="2880" w:hanging="360"/>
      </w:pPr>
      <w:rPr>
        <w:rFonts w:ascii="Wingdings" w:hAnsi="Wingdings" w:hint="default"/>
      </w:rPr>
    </w:lvl>
    <w:lvl w:ilvl="3" w:tplc="0C090001" w:tentative="1">
      <w:start w:val="1"/>
      <w:numFmt w:val="bullet"/>
      <w:lvlText w:val=""/>
      <w:lvlJc w:val="left"/>
      <w:pPr>
        <w:tabs>
          <w:tab w:val="num" w:pos="3600"/>
        </w:tabs>
        <w:ind w:left="3600" w:hanging="360"/>
      </w:pPr>
      <w:rPr>
        <w:rFonts w:ascii="Symbol" w:hAnsi="Symbol" w:hint="default"/>
      </w:rPr>
    </w:lvl>
    <w:lvl w:ilvl="4" w:tplc="0C090003" w:tentative="1">
      <w:start w:val="1"/>
      <w:numFmt w:val="bullet"/>
      <w:lvlText w:val="o"/>
      <w:lvlJc w:val="left"/>
      <w:pPr>
        <w:tabs>
          <w:tab w:val="num" w:pos="4320"/>
        </w:tabs>
        <w:ind w:left="4320" w:hanging="360"/>
      </w:pPr>
      <w:rPr>
        <w:rFonts w:ascii="Courier New" w:hAnsi="Courier New" w:cs="Courier New" w:hint="default"/>
      </w:rPr>
    </w:lvl>
    <w:lvl w:ilvl="5" w:tplc="0C090005" w:tentative="1">
      <w:start w:val="1"/>
      <w:numFmt w:val="bullet"/>
      <w:lvlText w:val=""/>
      <w:lvlJc w:val="left"/>
      <w:pPr>
        <w:tabs>
          <w:tab w:val="num" w:pos="5040"/>
        </w:tabs>
        <w:ind w:left="5040" w:hanging="360"/>
      </w:pPr>
      <w:rPr>
        <w:rFonts w:ascii="Wingdings" w:hAnsi="Wingdings" w:hint="default"/>
      </w:rPr>
    </w:lvl>
    <w:lvl w:ilvl="6" w:tplc="0C090001" w:tentative="1">
      <w:start w:val="1"/>
      <w:numFmt w:val="bullet"/>
      <w:lvlText w:val=""/>
      <w:lvlJc w:val="left"/>
      <w:pPr>
        <w:tabs>
          <w:tab w:val="num" w:pos="5760"/>
        </w:tabs>
        <w:ind w:left="5760" w:hanging="360"/>
      </w:pPr>
      <w:rPr>
        <w:rFonts w:ascii="Symbol" w:hAnsi="Symbol" w:hint="default"/>
      </w:rPr>
    </w:lvl>
    <w:lvl w:ilvl="7" w:tplc="0C090003" w:tentative="1">
      <w:start w:val="1"/>
      <w:numFmt w:val="bullet"/>
      <w:lvlText w:val="o"/>
      <w:lvlJc w:val="left"/>
      <w:pPr>
        <w:tabs>
          <w:tab w:val="num" w:pos="6480"/>
        </w:tabs>
        <w:ind w:left="6480" w:hanging="360"/>
      </w:pPr>
      <w:rPr>
        <w:rFonts w:ascii="Courier New" w:hAnsi="Courier New" w:cs="Courier New" w:hint="default"/>
      </w:rPr>
    </w:lvl>
    <w:lvl w:ilvl="8" w:tplc="0C090005" w:tentative="1">
      <w:start w:val="1"/>
      <w:numFmt w:val="bullet"/>
      <w:lvlText w:val=""/>
      <w:lvlJc w:val="left"/>
      <w:pPr>
        <w:tabs>
          <w:tab w:val="num" w:pos="7200"/>
        </w:tabs>
        <w:ind w:left="7200" w:hanging="360"/>
      </w:pPr>
      <w:rPr>
        <w:rFonts w:ascii="Wingdings" w:hAnsi="Wingdings" w:hint="default"/>
      </w:rPr>
    </w:lvl>
  </w:abstractNum>
  <w:abstractNum w:abstractNumId="3">
    <w:nsid w:val="1D5F6DFD"/>
    <w:multiLevelType w:val="hybridMultilevel"/>
    <w:tmpl w:val="A28689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2E275AFA"/>
    <w:multiLevelType w:val="hybridMultilevel"/>
    <w:tmpl w:val="F104E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2E9D6BEF"/>
    <w:multiLevelType w:val="hybridMultilevel"/>
    <w:tmpl w:val="D7FEDB62"/>
    <w:lvl w:ilvl="0" w:tplc="85AC7A1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7">
    <w:nsid w:val="33352FA9"/>
    <w:multiLevelType w:val="hybridMultilevel"/>
    <w:tmpl w:val="F9C0EAB6"/>
    <w:lvl w:ilvl="0" w:tplc="C7EAF36C">
      <w:start w:val="1"/>
      <w:numFmt w:val="bullet"/>
      <w:pStyle w:val="ListBullet"/>
      <w:lvlText w:val=""/>
      <w:lvlJc w:val="left"/>
      <w:pPr>
        <w:ind w:left="360" w:hanging="360"/>
      </w:pPr>
      <w:rPr>
        <w:rFonts w:ascii="Symbol" w:hAnsi="Symbol" w:hint="default"/>
        <w:sz w:val="22"/>
      </w:rPr>
    </w:lvl>
    <w:lvl w:ilvl="1" w:tplc="0C090003" w:tentative="1">
      <w:start w:val="1"/>
      <w:numFmt w:val="bullet"/>
      <w:lvlText w:val="o"/>
      <w:lvlJc w:val="left"/>
      <w:pPr>
        <w:tabs>
          <w:tab w:val="num" w:pos="723"/>
        </w:tabs>
        <w:ind w:left="723" w:hanging="360"/>
      </w:pPr>
      <w:rPr>
        <w:rFonts w:ascii="Courier New" w:hAnsi="Courier New" w:cs="Courier New" w:hint="default"/>
      </w:rPr>
    </w:lvl>
    <w:lvl w:ilvl="2" w:tplc="0C090005" w:tentative="1">
      <w:start w:val="1"/>
      <w:numFmt w:val="bullet"/>
      <w:lvlText w:val=""/>
      <w:lvlJc w:val="left"/>
      <w:pPr>
        <w:tabs>
          <w:tab w:val="num" w:pos="1443"/>
        </w:tabs>
        <w:ind w:left="1443" w:hanging="360"/>
      </w:pPr>
      <w:rPr>
        <w:rFonts w:ascii="Wingdings" w:hAnsi="Wingdings" w:hint="default"/>
      </w:rPr>
    </w:lvl>
    <w:lvl w:ilvl="3" w:tplc="0C090001" w:tentative="1">
      <w:start w:val="1"/>
      <w:numFmt w:val="bullet"/>
      <w:lvlText w:val=""/>
      <w:lvlJc w:val="left"/>
      <w:pPr>
        <w:tabs>
          <w:tab w:val="num" w:pos="2163"/>
        </w:tabs>
        <w:ind w:left="2163" w:hanging="360"/>
      </w:pPr>
      <w:rPr>
        <w:rFonts w:ascii="Symbol" w:hAnsi="Symbol" w:hint="default"/>
      </w:rPr>
    </w:lvl>
    <w:lvl w:ilvl="4" w:tplc="0C090003" w:tentative="1">
      <w:start w:val="1"/>
      <w:numFmt w:val="bullet"/>
      <w:lvlText w:val="o"/>
      <w:lvlJc w:val="left"/>
      <w:pPr>
        <w:tabs>
          <w:tab w:val="num" w:pos="2883"/>
        </w:tabs>
        <w:ind w:left="2883" w:hanging="360"/>
      </w:pPr>
      <w:rPr>
        <w:rFonts w:ascii="Courier New" w:hAnsi="Courier New" w:cs="Courier New" w:hint="default"/>
      </w:rPr>
    </w:lvl>
    <w:lvl w:ilvl="5" w:tplc="0C090005" w:tentative="1">
      <w:start w:val="1"/>
      <w:numFmt w:val="bullet"/>
      <w:lvlText w:val=""/>
      <w:lvlJc w:val="left"/>
      <w:pPr>
        <w:tabs>
          <w:tab w:val="num" w:pos="3603"/>
        </w:tabs>
        <w:ind w:left="3603" w:hanging="360"/>
      </w:pPr>
      <w:rPr>
        <w:rFonts w:ascii="Wingdings" w:hAnsi="Wingdings" w:hint="default"/>
      </w:rPr>
    </w:lvl>
    <w:lvl w:ilvl="6" w:tplc="0C090001" w:tentative="1">
      <w:start w:val="1"/>
      <w:numFmt w:val="bullet"/>
      <w:lvlText w:val=""/>
      <w:lvlJc w:val="left"/>
      <w:pPr>
        <w:tabs>
          <w:tab w:val="num" w:pos="4323"/>
        </w:tabs>
        <w:ind w:left="4323" w:hanging="360"/>
      </w:pPr>
      <w:rPr>
        <w:rFonts w:ascii="Symbol" w:hAnsi="Symbol" w:hint="default"/>
      </w:rPr>
    </w:lvl>
    <w:lvl w:ilvl="7" w:tplc="0C090003" w:tentative="1">
      <w:start w:val="1"/>
      <w:numFmt w:val="bullet"/>
      <w:lvlText w:val="o"/>
      <w:lvlJc w:val="left"/>
      <w:pPr>
        <w:tabs>
          <w:tab w:val="num" w:pos="5043"/>
        </w:tabs>
        <w:ind w:left="5043" w:hanging="360"/>
      </w:pPr>
      <w:rPr>
        <w:rFonts w:ascii="Courier New" w:hAnsi="Courier New" w:cs="Courier New" w:hint="default"/>
      </w:rPr>
    </w:lvl>
    <w:lvl w:ilvl="8" w:tplc="0C090005" w:tentative="1">
      <w:start w:val="1"/>
      <w:numFmt w:val="bullet"/>
      <w:lvlText w:val=""/>
      <w:lvlJc w:val="left"/>
      <w:pPr>
        <w:tabs>
          <w:tab w:val="num" w:pos="5763"/>
        </w:tabs>
        <w:ind w:left="5763" w:hanging="360"/>
      </w:pPr>
      <w:rPr>
        <w:rFonts w:ascii="Wingdings" w:hAnsi="Wingdings" w:hint="default"/>
      </w:rPr>
    </w:lvl>
  </w:abstractNum>
  <w:abstractNum w:abstractNumId="8">
    <w:nsid w:val="34764433"/>
    <w:multiLevelType w:val="hybridMultilevel"/>
    <w:tmpl w:val="2AEE701E"/>
    <w:lvl w:ilvl="0" w:tplc="74F6A0D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34AA2E58"/>
    <w:multiLevelType w:val="hybridMultilevel"/>
    <w:tmpl w:val="59B4BE0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nsid w:val="38B5413F"/>
    <w:multiLevelType w:val="multilevel"/>
    <w:tmpl w:val="A2F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F4461BB"/>
    <w:multiLevelType w:val="multilevel"/>
    <w:tmpl w:val="1FCAE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1C32920"/>
    <w:multiLevelType w:val="multilevel"/>
    <w:tmpl w:val="5AEEB1E0"/>
    <w:lvl w:ilvl="0">
      <w:start w:val="1"/>
      <w:numFmt w:val="lowerLetter"/>
      <w:pStyle w:val="ListNumber"/>
      <w:lvlText w:val="%1)"/>
      <w:lvlJc w:val="left"/>
      <w:pPr>
        <w:tabs>
          <w:tab w:val="num" w:pos="566"/>
        </w:tabs>
        <w:ind w:left="566" w:hanging="567"/>
      </w:pPr>
      <w:rPr>
        <w:rFonts w:hint="default"/>
      </w:rPr>
    </w:lvl>
    <w:lvl w:ilvl="1">
      <w:start w:val="1"/>
      <w:numFmt w:val="lowerLetter"/>
      <w:pStyle w:val="List2"/>
      <w:lvlText w:val="(%2)"/>
      <w:lvlJc w:val="left"/>
      <w:pPr>
        <w:tabs>
          <w:tab w:val="num" w:pos="1133"/>
        </w:tabs>
        <w:ind w:left="1133" w:hanging="567"/>
      </w:pPr>
      <w:rPr>
        <w:rFonts w:hint="default"/>
      </w:rPr>
    </w:lvl>
    <w:lvl w:ilvl="2">
      <w:start w:val="1"/>
      <w:numFmt w:val="lowerRoman"/>
      <w:pStyle w:val="ListNumber3"/>
      <w:lvlText w:val="(%3)"/>
      <w:lvlJc w:val="left"/>
      <w:pPr>
        <w:tabs>
          <w:tab w:val="num" w:pos="1700"/>
        </w:tabs>
        <w:ind w:left="1701" w:hanging="568"/>
      </w:pPr>
      <w:rPr>
        <w:rFonts w:hint="default"/>
      </w:rPr>
    </w:lvl>
    <w:lvl w:ilvl="3">
      <w:start w:val="1"/>
      <w:numFmt w:val="none"/>
      <w:lvlText w:val="(%4)"/>
      <w:lvlJc w:val="left"/>
      <w:pPr>
        <w:tabs>
          <w:tab w:val="num" w:pos="1439"/>
        </w:tabs>
        <w:ind w:left="1439" w:hanging="360"/>
      </w:pPr>
      <w:rPr>
        <w:rFonts w:hint="default"/>
      </w:rPr>
    </w:lvl>
    <w:lvl w:ilvl="4">
      <w:start w:val="1"/>
      <w:numFmt w:val="none"/>
      <w:lvlText w:val="(%5)"/>
      <w:lvlJc w:val="left"/>
      <w:pPr>
        <w:tabs>
          <w:tab w:val="num" w:pos="1799"/>
        </w:tabs>
        <w:ind w:left="1799" w:hanging="360"/>
      </w:pPr>
      <w:rPr>
        <w:rFonts w:hint="default"/>
      </w:rPr>
    </w:lvl>
    <w:lvl w:ilvl="5">
      <w:start w:val="1"/>
      <w:numFmt w:val="none"/>
      <w:lvlText w:val="(%6)"/>
      <w:lvlJc w:val="left"/>
      <w:pPr>
        <w:tabs>
          <w:tab w:val="num" w:pos="2159"/>
        </w:tabs>
        <w:ind w:left="2159" w:hanging="360"/>
      </w:pPr>
      <w:rPr>
        <w:rFonts w:hint="default"/>
      </w:rPr>
    </w:lvl>
    <w:lvl w:ilvl="6">
      <w:start w:val="1"/>
      <w:numFmt w:val="none"/>
      <w:lvlText w:val="%7."/>
      <w:lvlJc w:val="left"/>
      <w:pPr>
        <w:tabs>
          <w:tab w:val="num" w:pos="2519"/>
        </w:tabs>
        <w:ind w:left="2519" w:hanging="360"/>
      </w:pPr>
      <w:rPr>
        <w:rFonts w:hint="default"/>
      </w:rPr>
    </w:lvl>
    <w:lvl w:ilvl="7">
      <w:start w:val="1"/>
      <w:numFmt w:val="none"/>
      <w:lvlText w:val="%8."/>
      <w:lvlJc w:val="left"/>
      <w:pPr>
        <w:tabs>
          <w:tab w:val="num" w:pos="2879"/>
        </w:tabs>
        <w:ind w:left="2879" w:hanging="360"/>
      </w:pPr>
      <w:rPr>
        <w:rFonts w:hint="default"/>
      </w:rPr>
    </w:lvl>
    <w:lvl w:ilvl="8">
      <w:start w:val="1"/>
      <w:numFmt w:val="none"/>
      <w:lvlText w:val="%9."/>
      <w:lvlJc w:val="left"/>
      <w:pPr>
        <w:tabs>
          <w:tab w:val="num" w:pos="3239"/>
        </w:tabs>
        <w:ind w:left="3239" w:hanging="360"/>
      </w:pPr>
      <w:rPr>
        <w:rFonts w:hint="default"/>
      </w:rPr>
    </w:lvl>
  </w:abstractNum>
  <w:abstractNum w:abstractNumId="13">
    <w:nsid w:val="446061A8"/>
    <w:multiLevelType w:val="hybridMultilevel"/>
    <w:tmpl w:val="5FA21CF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49C01B22"/>
    <w:multiLevelType w:val="hybridMultilevel"/>
    <w:tmpl w:val="883CFB06"/>
    <w:lvl w:ilvl="0" w:tplc="D046B55A">
      <w:start w:val="1"/>
      <w:numFmt w:val="bullet"/>
      <w:pStyle w:val="ListBullet2"/>
      <w:lvlText w:val=""/>
      <w:lvlJc w:val="left"/>
      <w:pPr>
        <w:ind w:left="717" w:hanging="360"/>
      </w:pPr>
      <w:rPr>
        <w:rFonts w:ascii="Symbol" w:hAnsi="Symbol" w:hint="default"/>
        <w:sz w:val="22"/>
      </w:rPr>
    </w:lvl>
    <w:lvl w:ilvl="1" w:tplc="BF56E6CC" w:tentative="1">
      <w:start w:val="1"/>
      <w:numFmt w:val="bullet"/>
      <w:lvlText w:val="o"/>
      <w:lvlJc w:val="left"/>
      <w:pPr>
        <w:tabs>
          <w:tab w:val="num" w:pos="1800"/>
        </w:tabs>
        <w:ind w:left="1800" w:hanging="360"/>
      </w:pPr>
      <w:rPr>
        <w:rFonts w:ascii="Courier New" w:hAnsi="Courier New" w:cs="Courier New" w:hint="default"/>
      </w:rPr>
    </w:lvl>
    <w:lvl w:ilvl="2" w:tplc="D83054AA" w:tentative="1">
      <w:start w:val="1"/>
      <w:numFmt w:val="bullet"/>
      <w:lvlText w:val=""/>
      <w:lvlJc w:val="left"/>
      <w:pPr>
        <w:tabs>
          <w:tab w:val="num" w:pos="2520"/>
        </w:tabs>
        <w:ind w:left="2520" w:hanging="360"/>
      </w:pPr>
      <w:rPr>
        <w:rFonts w:ascii="Wingdings" w:hAnsi="Wingdings" w:hint="default"/>
      </w:rPr>
    </w:lvl>
    <w:lvl w:ilvl="3" w:tplc="57D6172A" w:tentative="1">
      <w:start w:val="1"/>
      <w:numFmt w:val="bullet"/>
      <w:lvlText w:val=""/>
      <w:lvlJc w:val="left"/>
      <w:pPr>
        <w:tabs>
          <w:tab w:val="num" w:pos="3240"/>
        </w:tabs>
        <w:ind w:left="3240" w:hanging="360"/>
      </w:pPr>
      <w:rPr>
        <w:rFonts w:ascii="Symbol" w:hAnsi="Symbol" w:hint="default"/>
      </w:rPr>
    </w:lvl>
    <w:lvl w:ilvl="4" w:tplc="142AEB16" w:tentative="1">
      <w:start w:val="1"/>
      <w:numFmt w:val="bullet"/>
      <w:lvlText w:val="o"/>
      <w:lvlJc w:val="left"/>
      <w:pPr>
        <w:tabs>
          <w:tab w:val="num" w:pos="3960"/>
        </w:tabs>
        <w:ind w:left="3960" w:hanging="360"/>
      </w:pPr>
      <w:rPr>
        <w:rFonts w:ascii="Courier New" w:hAnsi="Courier New" w:cs="Courier New" w:hint="default"/>
      </w:rPr>
    </w:lvl>
    <w:lvl w:ilvl="5" w:tplc="3F6C7156" w:tentative="1">
      <w:start w:val="1"/>
      <w:numFmt w:val="bullet"/>
      <w:lvlText w:val=""/>
      <w:lvlJc w:val="left"/>
      <w:pPr>
        <w:tabs>
          <w:tab w:val="num" w:pos="4680"/>
        </w:tabs>
        <w:ind w:left="4680" w:hanging="360"/>
      </w:pPr>
      <w:rPr>
        <w:rFonts w:ascii="Wingdings" w:hAnsi="Wingdings" w:hint="default"/>
      </w:rPr>
    </w:lvl>
    <w:lvl w:ilvl="6" w:tplc="74D81E1A" w:tentative="1">
      <w:start w:val="1"/>
      <w:numFmt w:val="bullet"/>
      <w:lvlText w:val=""/>
      <w:lvlJc w:val="left"/>
      <w:pPr>
        <w:tabs>
          <w:tab w:val="num" w:pos="5400"/>
        </w:tabs>
        <w:ind w:left="5400" w:hanging="360"/>
      </w:pPr>
      <w:rPr>
        <w:rFonts w:ascii="Symbol" w:hAnsi="Symbol" w:hint="default"/>
      </w:rPr>
    </w:lvl>
    <w:lvl w:ilvl="7" w:tplc="33A239BA" w:tentative="1">
      <w:start w:val="1"/>
      <w:numFmt w:val="bullet"/>
      <w:lvlText w:val="o"/>
      <w:lvlJc w:val="left"/>
      <w:pPr>
        <w:tabs>
          <w:tab w:val="num" w:pos="6120"/>
        </w:tabs>
        <w:ind w:left="6120" w:hanging="360"/>
      </w:pPr>
      <w:rPr>
        <w:rFonts w:ascii="Courier New" w:hAnsi="Courier New" w:cs="Courier New" w:hint="default"/>
      </w:rPr>
    </w:lvl>
    <w:lvl w:ilvl="8" w:tplc="116A91FE" w:tentative="1">
      <w:start w:val="1"/>
      <w:numFmt w:val="bullet"/>
      <w:lvlText w:val=""/>
      <w:lvlJc w:val="left"/>
      <w:pPr>
        <w:tabs>
          <w:tab w:val="num" w:pos="6840"/>
        </w:tabs>
        <w:ind w:left="6840" w:hanging="360"/>
      </w:pPr>
      <w:rPr>
        <w:rFonts w:ascii="Wingdings" w:hAnsi="Wingdings" w:hint="default"/>
      </w:rPr>
    </w:lvl>
  </w:abstractNum>
  <w:abstractNum w:abstractNumId="15">
    <w:nsid w:val="4A0A3024"/>
    <w:multiLevelType w:val="hybridMultilevel"/>
    <w:tmpl w:val="0032CF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4D6309F7"/>
    <w:multiLevelType w:val="multilevel"/>
    <w:tmpl w:val="0498AA74"/>
    <w:lvl w:ilvl="0">
      <w:start w:val="1"/>
      <w:numFmt w:val="decimal"/>
      <w:pStyle w:val="BoxTablenumberedlist-L1-2"/>
      <w:lvlText w:val="%1."/>
      <w:lvlJc w:val="left"/>
      <w:pPr>
        <w:ind w:left="340" w:hanging="340"/>
      </w:pPr>
      <w:rPr>
        <w:rFonts w:ascii="Arial" w:hAnsi="Arial" w:cs="Arial" w:hint="default"/>
        <w:b w:val="0"/>
        <w:i w:val="0"/>
        <w:color w:val="000000"/>
        <w:sz w:val="20"/>
      </w:rPr>
    </w:lvl>
    <w:lvl w:ilvl="1">
      <w:start w:val="1"/>
      <w:numFmt w:val="bullet"/>
      <w:lvlText w:val=""/>
      <w:lvlJc w:val="left"/>
      <w:pPr>
        <w:ind w:left="680" w:hanging="340"/>
      </w:pPr>
      <w:rPr>
        <w:rFonts w:ascii="Symbol" w:hAnsi="Symbol" w:hint="default"/>
      </w:rPr>
    </w:lvl>
    <w:lvl w:ilvl="2">
      <w:start w:val="1"/>
      <w:numFmt w:val="none"/>
      <w:lvlText w:val="%3"/>
      <w:lvlJc w:val="right"/>
      <w:pPr>
        <w:ind w:left="680"/>
      </w:pPr>
      <w:rPr>
        <w:rFonts w:cs="Times New Roman" w:hint="default"/>
      </w:rPr>
    </w:lvl>
    <w:lvl w:ilvl="3">
      <w:start w:val="1"/>
      <w:numFmt w:val="none"/>
      <w:lvlText w:val="%4"/>
      <w:lvlJc w:val="left"/>
      <w:pPr>
        <w:ind w:left="680"/>
      </w:pPr>
      <w:rPr>
        <w:rFonts w:cs="Times New Roman" w:hint="default"/>
      </w:rPr>
    </w:lvl>
    <w:lvl w:ilvl="4">
      <w:start w:val="1"/>
      <w:numFmt w:val="none"/>
      <w:lvlText w:val="%5"/>
      <w:lvlJc w:val="left"/>
      <w:pPr>
        <w:ind w:left="680"/>
      </w:pPr>
      <w:rPr>
        <w:rFonts w:cs="Times New Roman" w:hint="default"/>
      </w:rPr>
    </w:lvl>
    <w:lvl w:ilvl="5">
      <w:start w:val="1"/>
      <w:numFmt w:val="none"/>
      <w:lvlText w:val="%6"/>
      <w:lvlJc w:val="right"/>
      <w:pPr>
        <w:ind w:left="680"/>
      </w:pPr>
      <w:rPr>
        <w:rFonts w:cs="Times New Roman" w:hint="default"/>
      </w:rPr>
    </w:lvl>
    <w:lvl w:ilvl="6">
      <w:start w:val="1"/>
      <w:numFmt w:val="none"/>
      <w:lvlText w:val="%7"/>
      <w:lvlJc w:val="left"/>
      <w:pPr>
        <w:ind w:left="680"/>
      </w:pPr>
      <w:rPr>
        <w:rFonts w:cs="Times New Roman" w:hint="default"/>
      </w:rPr>
    </w:lvl>
    <w:lvl w:ilvl="7">
      <w:start w:val="1"/>
      <w:numFmt w:val="none"/>
      <w:lvlText w:val="%8"/>
      <w:lvlJc w:val="left"/>
      <w:pPr>
        <w:ind w:left="680"/>
      </w:pPr>
      <w:rPr>
        <w:rFonts w:cs="Times New Roman" w:hint="default"/>
      </w:rPr>
    </w:lvl>
    <w:lvl w:ilvl="8">
      <w:start w:val="1"/>
      <w:numFmt w:val="none"/>
      <w:lvlText w:val="%9"/>
      <w:lvlJc w:val="right"/>
      <w:pPr>
        <w:ind w:left="680"/>
      </w:pPr>
      <w:rPr>
        <w:rFonts w:cs="Times New Roman" w:hint="default"/>
      </w:rPr>
    </w:lvl>
  </w:abstractNum>
  <w:abstractNum w:abstractNumId="17">
    <w:nsid w:val="4FD44A31"/>
    <w:multiLevelType w:val="hybridMultilevel"/>
    <w:tmpl w:val="E360753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nsid w:val="56E00B55"/>
    <w:multiLevelType w:val="hybridMultilevel"/>
    <w:tmpl w:val="D6480E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59CC1EC4"/>
    <w:multiLevelType w:val="hybridMultilevel"/>
    <w:tmpl w:val="0ABC0C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nsid w:val="5C1C5B7B"/>
    <w:multiLevelType w:val="hybridMultilevel"/>
    <w:tmpl w:val="201E9D78"/>
    <w:lvl w:ilvl="0" w:tplc="5D223BBC">
      <w:numFmt w:val="bullet"/>
      <w:lvlText w:val="•"/>
      <w:lvlJc w:val="left"/>
      <w:pPr>
        <w:ind w:left="360" w:hanging="360"/>
      </w:pPr>
      <w:rPr>
        <w:rFonts w:ascii="Times New Roman" w:eastAsia="Times New Roman" w:hAnsi="Times New Roman"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nsid w:val="5C475C81"/>
    <w:multiLevelType w:val="multilevel"/>
    <w:tmpl w:val="00702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63C303AB"/>
    <w:multiLevelType w:val="multilevel"/>
    <w:tmpl w:val="6B4A6268"/>
    <w:lvl w:ilvl="0">
      <w:start w:val="1"/>
      <w:numFmt w:val="bullet"/>
      <w:pStyle w:val="Bodybullet-L1-2"/>
      <w:lvlText w:val=""/>
      <w:lvlJc w:val="left"/>
      <w:pPr>
        <w:tabs>
          <w:tab w:val="num" w:pos="340"/>
        </w:tabs>
        <w:ind w:left="340" w:hanging="340"/>
      </w:pPr>
      <w:rPr>
        <w:rFonts w:ascii="Symbol" w:hAnsi="Symbol" w:hint="default"/>
      </w:rPr>
    </w:lvl>
    <w:lvl w:ilvl="1">
      <w:start w:val="1"/>
      <w:numFmt w:val="bullet"/>
      <w:lvlText w:val="-"/>
      <w:lvlJc w:val="left"/>
      <w:pPr>
        <w:tabs>
          <w:tab w:val="num" w:pos="680"/>
        </w:tabs>
        <w:ind w:left="680" w:hanging="340"/>
      </w:pPr>
      <w:rPr>
        <w:rFonts w:ascii="Courier New" w:hAnsi="Courier New" w:hint="default"/>
      </w:rPr>
    </w:lvl>
    <w:lvl w:ilvl="2">
      <w:start w:val="1"/>
      <w:numFmt w:val="none"/>
      <w:lvlText w:val=""/>
      <w:lvlJc w:val="left"/>
      <w:pPr>
        <w:tabs>
          <w:tab w:val="num" w:pos="1080"/>
        </w:tabs>
        <w:ind w:left="1080" w:hanging="360"/>
      </w:pPr>
      <w:rPr>
        <w:rFonts w:cs="Times New Roman" w:hint="default"/>
      </w:rPr>
    </w:lvl>
    <w:lvl w:ilvl="3">
      <w:start w:val="1"/>
      <w:numFmt w:val="none"/>
      <w:lvlText w:val=""/>
      <w:lvlJc w:val="left"/>
      <w:pPr>
        <w:tabs>
          <w:tab w:val="num" w:pos="1440"/>
        </w:tabs>
        <w:ind w:left="1440" w:hanging="360"/>
      </w:pPr>
      <w:rPr>
        <w:rFonts w:cs="Times New Roman" w:hint="default"/>
      </w:rPr>
    </w:lvl>
    <w:lvl w:ilvl="4">
      <w:start w:val="1"/>
      <w:numFmt w:val="none"/>
      <w:lvlText w:val=""/>
      <w:lvlJc w:val="left"/>
      <w:pPr>
        <w:tabs>
          <w:tab w:val="num" w:pos="1800"/>
        </w:tabs>
        <w:ind w:left="1800" w:hanging="360"/>
      </w:pPr>
      <w:rPr>
        <w:rFonts w:cs="Times New Roman" w:hint="default"/>
      </w:rPr>
    </w:lvl>
    <w:lvl w:ilvl="5">
      <w:start w:val="1"/>
      <w:numFmt w:val="none"/>
      <w:lvlText w:val=""/>
      <w:lvlJc w:val="left"/>
      <w:pPr>
        <w:tabs>
          <w:tab w:val="num" w:pos="2160"/>
        </w:tabs>
        <w:ind w:left="2160" w:hanging="360"/>
      </w:pPr>
      <w:rPr>
        <w:rFonts w:cs="Times New Roman" w:hint="default"/>
      </w:rPr>
    </w:lvl>
    <w:lvl w:ilvl="6">
      <w:start w:val="1"/>
      <w:numFmt w:val="none"/>
      <w:lvlText w:val=""/>
      <w:lvlJc w:val="left"/>
      <w:pPr>
        <w:tabs>
          <w:tab w:val="num" w:pos="2520"/>
        </w:tabs>
        <w:ind w:left="2520" w:hanging="360"/>
      </w:pPr>
      <w:rPr>
        <w:rFonts w:cs="Times New Roman" w:hint="default"/>
      </w:rPr>
    </w:lvl>
    <w:lvl w:ilvl="7">
      <w:start w:val="1"/>
      <w:numFmt w:val="none"/>
      <w:lvlText w:val=""/>
      <w:lvlJc w:val="left"/>
      <w:pPr>
        <w:tabs>
          <w:tab w:val="num" w:pos="2880"/>
        </w:tabs>
        <w:ind w:left="2880" w:hanging="360"/>
      </w:pPr>
      <w:rPr>
        <w:rFonts w:cs="Times New Roman" w:hint="default"/>
      </w:rPr>
    </w:lvl>
    <w:lvl w:ilvl="8">
      <w:start w:val="1"/>
      <w:numFmt w:val="none"/>
      <w:lvlText w:val=""/>
      <w:lvlJc w:val="left"/>
      <w:pPr>
        <w:tabs>
          <w:tab w:val="num" w:pos="3240"/>
        </w:tabs>
        <w:ind w:left="3240" w:hanging="360"/>
      </w:pPr>
      <w:rPr>
        <w:rFonts w:cs="Times New Roman" w:hint="default"/>
      </w:rPr>
    </w:lvl>
  </w:abstractNum>
  <w:abstractNum w:abstractNumId="23">
    <w:nsid w:val="68734736"/>
    <w:multiLevelType w:val="hybridMultilevel"/>
    <w:tmpl w:val="5142B45E"/>
    <w:lvl w:ilvl="0" w:tplc="820EF9C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73D33739"/>
    <w:multiLevelType w:val="hybridMultilevel"/>
    <w:tmpl w:val="6D5CD4BC"/>
    <w:lvl w:ilvl="0" w:tplc="8F32FFEE">
      <w:start w:val="1"/>
      <w:numFmt w:val="bullet"/>
      <w:pStyle w:val="acbullet"/>
      <w:lvlText w:val="o"/>
      <w:lvlJc w:val="left"/>
      <w:pPr>
        <w:tabs>
          <w:tab w:val="num" w:pos="360"/>
        </w:tabs>
        <w:ind w:left="360" w:hanging="360"/>
      </w:pPr>
      <w:rPr>
        <w:rFonts w:ascii="Courier New" w:hAnsi="Courier New" w:hint="default"/>
      </w:rPr>
    </w:lvl>
    <w:lvl w:ilvl="1" w:tplc="04C8DD10" w:tentative="1">
      <w:start w:val="1"/>
      <w:numFmt w:val="bullet"/>
      <w:lvlText w:val="o"/>
      <w:lvlJc w:val="left"/>
      <w:pPr>
        <w:tabs>
          <w:tab w:val="num" w:pos="1440"/>
        </w:tabs>
        <w:ind w:left="1440" w:hanging="360"/>
      </w:pPr>
      <w:rPr>
        <w:rFonts w:ascii="Courier New" w:hAnsi="Courier New" w:cs="Courier New" w:hint="default"/>
      </w:rPr>
    </w:lvl>
    <w:lvl w:ilvl="2" w:tplc="71FC6D2A" w:tentative="1">
      <w:start w:val="1"/>
      <w:numFmt w:val="bullet"/>
      <w:lvlText w:val=""/>
      <w:lvlJc w:val="left"/>
      <w:pPr>
        <w:tabs>
          <w:tab w:val="num" w:pos="2160"/>
        </w:tabs>
        <w:ind w:left="2160" w:hanging="360"/>
      </w:pPr>
      <w:rPr>
        <w:rFonts w:ascii="Wingdings" w:hAnsi="Wingdings" w:hint="default"/>
      </w:rPr>
    </w:lvl>
    <w:lvl w:ilvl="3" w:tplc="51E4E902" w:tentative="1">
      <w:start w:val="1"/>
      <w:numFmt w:val="bullet"/>
      <w:lvlText w:val=""/>
      <w:lvlJc w:val="left"/>
      <w:pPr>
        <w:tabs>
          <w:tab w:val="num" w:pos="2880"/>
        </w:tabs>
        <w:ind w:left="2880" w:hanging="360"/>
      </w:pPr>
      <w:rPr>
        <w:rFonts w:ascii="Symbol" w:hAnsi="Symbol" w:hint="default"/>
      </w:rPr>
    </w:lvl>
    <w:lvl w:ilvl="4" w:tplc="AE6044D6" w:tentative="1">
      <w:start w:val="1"/>
      <w:numFmt w:val="bullet"/>
      <w:lvlText w:val="o"/>
      <w:lvlJc w:val="left"/>
      <w:pPr>
        <w:tabs>
          <w:tab w:val="num" w:pos="3600"/>
        </w:tabs>
        <w:ind w:left="3600" w:hanging="360"/>
      </w:pPr>
      <w:rPr>
        <w:rFonts w:ascii="Courier New" w:hAnsi="Courier New" w:cs="Courier New" w:hint="default"/>
      </w:rPr>
    </w:lvl>
    <w:lvl w:ilvl="5" w:tplc="35020D98" w:tentative="1">
      <w:start w:val="1"/>
      <w:numFmt w:val="bullet"/>
      <w:lvlText w:val=""/>
      <w:lvlJc w:val="left"/>
      <w:pPr>
        <w:tabs>
          <w:tab w:val="num" w:pos="4320"/>
        </w:tabs>
        <w:ind w:left="4320" w:hanging="360"/>
      </w:pPr>
      <w:rPr>
        <w:rFonts w:ascii="Wingdings" w:hAnsi="Wingdings" w:hint="default"/>
      </w:rPr>
    </w:lvl>
    <w:lvl w:ilvl="6" w:tplc="DA6C19FA" w:tentative="1">
      <w:start w:val="1"/>
      <w:numFmt w:val="bullet"/>
      <w:lvlText w:val=""/>
      <w:lvlJc w:val="left"/>
      <w:pPr>
        <w:tabs>
          <w:tab w:val="num" w:pos="5040"/>
        </w:tabs>
        <w:ind w:left="5040" w:hanging="360"/>
      </w:pPr>
      <w:rPr>
        <w:rFonts w:ascii="Symbol" w:hAnsi="Symbol" w:hint="default"/>
      </w:rPr>
    </w:lvl>
    <w:lvl w:ilvl="7" w:tplc="D3260C18" w:tentative="1">
      <w:start w:val="1"/>
      <w:numFmt w:val="bullet"/>
      <w:lvlText w:val="o"/>
      <w:lvlJc w:val="left"/>
      <w:pPr>
        <w:tabs>
          <w:tab w:val="num" w:pos="5760"/>
        </w:tabs>
        <w:ind w:left="5760" w:hanging="360"/>
      </w:pPr>
      <w:rPr>
        <w:rFonts w:ascii="Courier New" w:hAnsi="Courier New" w:cs="Courier New" w:hint="default"/>
      </w:rPr>
    </w:lvl>
    <w:lvl w:ilvl="8" w:tplc="75C47296" w:tentative="1">
      <w:start w:val="1"/>
      <w:numFmt w:val="bullet"/>
      <w:lvlText w:val=""/>
      <w:lvlJc w:val="left"/>
      <w:pPr>
        <w:tabs>
          <w:tab w:val="num" w:pos="6480"/>
        </w:tabs>
        <w:ind w:left="6480" w:hanging="360"/>
      </w:pPr>
      <w:rPr>
        <w:rFonts w:ascii="Wingdings" w:hAnsi="Wingdings" w:hint="default"/>
      </w:rPr>
    </w:lvl>
  </w:abstractNum>
  <w:abstractNum w:abstractNumId="25">
    <w:nsid w:val="76631874"/>
    <w:multiLevelType w:val="hybridMultilevel"/>
    <w:tmpl w:val="9712F530"/>
    <w:lvl w:ilvl="0" w:tplc="4D00577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77455522"/>
    <w:multiLevelType w:val="multilevel"/>
    <w:tmpl w:val="F116A234"/>
    <w:lvl w:ilvl="0">
      <w:start w:val="1"/>
      <w:numFmt w:val="bullet"/>
      <w:pStyle w:val="bullet"/>
      <w:lvlText w:val=""/>
      <w:lvlJc w:val="left"/>
      <w:pPr>
        <w:tabs>
          <w:tab w:val="num" w:pos="1134"/>
        </w:tabs>
        <w:ind w:left="1134" w:hanging="567"/>
      </w:pPr>
      <w:rPr>
        <w:rFonts w:ascii="Symbol" w:hAnsi="Symbol" w:hint="default"/>
      </w:rPr>
    </w:lvl>
    <w:lvl w:ilvl="1">
      <w:start w:val="1"/>
      <w:numFmt w:val="bullet"/>
      <w:pStyle w:val="bullet2"/>
      <w:lvlText w:val=""/>
      <w:lvlJc w:val="left"/>
      <w:pPr>
        <w:tabs>
          <w:tab w:val="num" w:pos="1701"/>
        </w:tabs>
        <w:ind w:left="1701" w:hanging="567"/>
      </w:pPr>
      <w:rPr>
        <w:rFonts w:ascii="Symbol" w:hAnsi="Symbol" w:hint="default"/>
      </w:rPr>
    </w:lvl>
    <w:lvl w:ilvl="2">
      <w:start w:val="1"/>
      <w:numFmt w:val="lowerRoman"/>
      <w:lvlText w:val="(%3)"/>
      <w:lvlJc w:val="left"/>
      <w:pPr>
        <w:tabs>
          <w:tab w:val="num" w:pos="2421"/>
        </w:tabs>
        <w:ind w:left="2268" w:hanging="567"/>
      </w:pPr>
    </w:lvl>
    <w:lvl w:ilvl="3">
      <w:start w:val="1"/>
      <w:numFmt w:val="none"/>
      <w:lvlText w:val="(%4)"/>
      <w:lvlJc w:val="left"/>
      <w:pPr>
        <w:tabs>
          <w:tab w:val="num" w:pos="1440"/>
        </w:tabs>
        <w:ind w:left="1440" w:hanging="360"/>
      </w:pPr>
    </w:lvl>
    <w:lvl w:ilvl="4">
      <w:start w:val="1"/>
      <w:numFmt w:val="none"/>
      <w:lvlText w:val="(%5)"/>
      <w:lvlJc w:val="left"/>
      <w:pPr>
        <w:tabs>
          <w:tab w:val="num" w:pos="1800"/>
        </w:tabs>
        <w:ind w:left="1800" w:hanging="360"/>
      </w:pPr>
    </w:lvl>
    <w:lvl w:ilvl="5">
      <w:start w:val="1"/>
      <w:numFmt w:val="none"/>
      <w:lvlText w:val="(%6)"/>
      <w:lvlJc w:val="left"/>
      <w:pPr>
        <w:tabs>
          <w:tab w:val="num" w:pos="2160"/>
        </w:tabs>
        <w:ind w:left="2160" w:hanging="360"/>
      </w:pPr>
    </w:lvl>
    <w:lvl w:ilvl="6">
      <w:start w:val="1"/>
      <w:numFmt w:val="none"/>
      <w:lvlText w:val="%7."/>
      <w:lvlJc w:val="left"/>
      <w:pPr>
        <w:tabs>
          <w:tab w:val="num" w:pos="2520"/>
        </w:tabs>
        <w:ind w:left="2520" w:hanging="360"/>
      </w:pPr>
    </w:lvl>
    <w:lvl w:ilvl="7">
      <w:start w:val="1"/>
      <w:numFmt w:val="none"/>
      <w:lvlText w:val="%8."/>
      <w:lvlJc w:val="left"/>
      <w:pPr>
        <w:tabs>
          <w:tab w:val="num" w:pos="2880"/>
        </w:tabs>
        <w:ind w:left="2880" w:hanging="360"/>
      </w:pPr>
    </w:lvl>
    <w:lvl w:ilvl="8">
      <w:start w:val="1"/>
      <w:numFmt w:val="none"/>
      <w:lvlText w:val="%9."/>
      <w:lvlJc w:val="left"/>
      <w:pPr>
        <w:tabs>
          <w:tab w:val="num" w:pos="3240"/>
        </w:tabs>
        <w:ind w:left="3240" w:hanging="360"/>
      </w:pPr>
    </w:lvl>
  </w:abstractNum>
  <w:abstractNum w:abstractNumId="27">
    <w:nsid w:val="77C4611B"/>
    <w:multiLevelType w:val="hybridMultilevel"/>
    <w:tmpl w:val="081A34C0"/>
    <w:lvl w:ilvl="0" w:tplc="C778ED2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78286725"/>
    <w:multiLevelType w:val="hybridMultilevel"/>
    <w:tmpl w:val="8812A6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7"/>
  </w:num>
  <w:num w:numId="2">
    <w:abstractNumId w:val="14"/>
  </w:num>
  <w:num w:numId="3">
    <w:abstractNumId w:val="2"/>
  </w:num>
  <w:num w:numId="4">
    <w:abstractNumId w:val="22"/>
  </w:num>
  <w:num w:numId="5">
    <w:abstractNumId w:val="16"/>
  </w:num>
  <w:num w:numId="6">
    <w:abstractNumId w:val="6"/>
  </w:num>
  <w:num w:numId="7">
    <w:abstractNumId w:val="24"/>
  </w:num>
  <w:num w:numId="8">
    <w:abstractNumId w:val="12"/>
  </w:num>
  <w:num w:numId="9">
    <w:abstractNumId w:val="26"/>
  </w:num>
  <w:num w:numId="10">
    <w:abstractNumId w:val="20"/>
  </w:num>
  <w:num w:numId="11">
    <w:abstractNumId w:val="5"/>
  </w:num>
  <w:num w:numId="12">
    <w:abstractNumId w:val="27"/>
  </w:num>
  <w:num w:numId="13">
    <w:abstractNumId w:val="0"/>
  </w:num>
  <w:num w:numId="14">
    <w:abstractNumId w:val="23"/>
  </w:num>
  <w:num w:numId="15">
    <w:abstractNumId w:val="8"/>
  </w:num>
  <w:num w:numId="16">
    <w:abstractNumId w:val="25"/>
  </w:num>
  <w:num w:numId="17">
    <w:abstractNumId w:val="19"/>
  </w:num>
  <w:num w:numId="18">
    <w:abstractNumId w:val="4"/>
  </w:num>
  <w:num w:numId="19">
    <w:abstractNumId w:val="3"/>
  </w:num>
  <w:num w:numId="20">
    <w:abstractNumId w:val="15"/>
  </w:num>
  <w:num w:numId="21">
    <w:abstractNumId w:val="13"/>
  </w:num>
  <w:num w:numId="22">
    <w:abstractNumId w:val="18"/>
  </w:num>
  <w:num w:numId="23">
    <w:abstractNumId w:val="17"/>
  </w:num>
  <w:num w:numId="24">
    <w:abstractNumId w:val="10"/>
  </w:num>
  <w:num w:numId="25">
    <w:abstractNumId w:val="11"/>
  </w:num>
  <w:num w:numId="26">
    <w:abstractNumId w:val="1"/>
  </w:num>
  <w:num w:numId="27">
    <w:abstractNumId w:val="21"/>
  </w:num>
  <w:num w:numId="28">
    <w:abstractNumId w:val="9"/>
  </w:num>
  <w:num w:numId="29">
    <w:abstractNumId w:val="2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4"/>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noPunctuationKerning/>
  <w:characterSpacingControl w:val="doNotCompress"/>
  <w:hdrShapeDefaults>
    <o:shapedefaults v:ext="edit" spidmax="2059" fillcolor="silver" strokecolor="#969696">
      <v:fill color="silver"/>
      <v:stroke color="#969696"/>
      <o:colormenu v:ext="edit" fillcolor="none [2732]"/>
    </o:shapedefaults>
    <o:shapelayout v:ext="edit">
      <o:idmap v:ext="edit" data="2"/>
    </o:shapelayout>
  </w:hdrShapeDefaults>
  <w:footnotePr>
    <w:footnote w:id="-1"/>
    <w:footnote w:id="0"/>
  </w:footnotePr>
  <w:endnotePr>
    <w:numFmt w:val="decimal"/>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gpoun\network december 2014 (D2014-00155048).docx"/>
  </w:docVars>
  <w:rsids>
    <w:rsidRoot w:val="00C0375F"/>
    <w:rsid w:val="000007E1"/>
    <w:rsid w:val="00000D0C"/>
    <w:rsid w:val="00000EBF"/>
    <w:rsid w:val="00001D8B"/>
    <w:rsid w:val="00003ED1"/>
    <w:rsid w:val="000044D9"/>
    <w:rsid w:val="00005F98"/>
    <w:rsid w:val="000067CD"/>
    <w:rsid w:val="00006DD3"/>
    <w:rsid w:val="00010101"/>
    <w:rsid w:val="0001144A"/>
    <w:rsid w:val="0001236F"/>
    <w:rsid w:val="00012DF3"/>
    <w:rsid w:val="00013AE4"/>
    <w:rsid w:val="00013D18"/>
    <w:rsid w:val="00014774"/>
    <w:rsid w:val="00014809"/>
    <w:rsid w:val="00015987"/>
    <w:rsid w:val="00015C77"/>
    <w:rsid w:val="00016C41"/>
    <w:rsid w:val="0001784E"/>
    <w:rsid w:val="00017EC7"/>
    <w:rsid w:val="00020314"/>
    <w:rsid w:val="00020F76"/>
    <w:rsid w:val="00026150"/>
    <w:rsid w:val="00026241"/>
    <w:rsid w:val="0002641A"/>
    <w:rsid w:val="00026CE8"/>
    <w:rsid w:val="00026FC3"/>
    <w:rsid w:val="00027768"/>
    <w:rsid w:val="00027923"/>
    <w:rsid w:val="00030B9E"/>
    <w:rsid w:val="00030D00"/>
    <w:rsid w:val="00031CCA"/>
    <w:rsid w:val="000321A3"/>
    <w:rsid w:val="00034C0D"/>
    <w:rsid w:val="00034FA5"/>
    <w:rsid w:val="00035F6D"/>
    <w:rsid w:val="000370CC"/>
    <w:rsid w:val="00037EAD"/>
    <w:rsid w:val="00040373"/>
    <w:rsid w:val="00040C45"/>
    <w:rsid w:val="00041D3A"/>
    <w:rsid w:val="00041F95"/>
    <w:rsid w:val="00043B74"/>
    <w:rsid w:val="00043EFD"/>
    <w:rsid w:val="00044308"/>
    <w:rsid w:val="00045EA8"/>
    <w:rsid w:val="000466C3"/>
    <w:rsid w:val="00046758"/>
    <w:rsid w:val="00047874"/>
    <w:rsid w:val="000479A8"/>
    <w:rsid w:val="00052161"/>
    <w:rsid w:val="000528DD"/>
    <w:rsid w:val="00054AE1"/>
    <w:rsid w:val="00055CD6"/>
    <w:rsid w:val="0005627E"/>
    <w:rsid w:val="00057F31"/>
    <w:rsid w:val="00061CAD"/>
    <w:rsid w:val="00062ADC"/>
    <w:rsid w:val="00062E75"/>
    <w:rsid w:val="00067158"/>
    <w:rsid w:val="00070A0D"/>
    <w:rsid w:val="000715A3"/>
    <w:rsid w:val="000732AD"/>
    <w:rsid w:val="00073C0A"/>
    <w:rsid w:val="00073D6D"/>
    <w:rsid w:val="00076FE1"/>
    <w:rsid w:val="00077764"/>
    <w:rsid w:val="00081AC2"/>
    <w:rsid w:val="000860CA"/>
    <w:rsid w:val="000861E2"/>
    <w:rsid w:val="00087AB5"/>
    <w:rsid w:val="00087F18"/>
    <w:rsid w:val="00087FFA"/>
    <w:rsid w:val="000900B5"/>
    <w:rsid w:val="000907B5"/>
    <w:rsid w:val="000907CD"/>
    <w:rsid w:val="00091CDB"/>
    <w:rsid w:val="000920C7"/>
    <w:rsid w:val="00092AF0"/>
    <w:rsid w:val="00092F81"/>
    <w:rsid w:val="000948A0"/>
    <w:rsid w:val="00097481"/>
    <w:rsid w:val="000A2DBB"/>
    <w:rsid w:val="000A34B5"/>
    <w:rsid w:val="000A441A"/>
    <w:rsid w:val="000A49DA"/>
    <w:rsid w:val="000A5E95"/>
    <w:rsid w:val="000A789F"/>
    <w:rsid w:val="000B1AF3"/>
    <w:rsid w:val="000B1C56"/>
    <w:rsid w:val="000B4180"/>
    <w:rsid w:val="000B4E1B"/>
    <w:rsid w:val="000B5AE6"/>
    <w:rsid w:val="000B5CCB"/>
    <w:rsid w:val="000C0FEB"/>
    <w:rsid w:val="000C1882"/>
    <w:rsid w:val="000C2363"/>
    <w:rsid w:val="000C3AFF"/>
    <w:rsid w:val="000C5146"/>
    <w:rsid w:val="000C5962"/>
    <w:rsid w:val="000C7C5E"/>
    <w:rsid w:val="000D0978"/>
    <w:rsid w:val="000D0982"/>
    <w:rsid w:val="000D1ED4"/>
    <w:rsid w:val="000D229F"/>
    <w:rsid w:val="000D4573"/>
    <w:rsid w:val="000D48FE"/>
    <w:rsid w:val="000D4F7A"/>
    <w:rsid w:val="000D5E5E"/>
    <w:rsid w:val="000D75D7"/>
    <w:rsid w:val="000D780C"/>
    <w:rsid w:val="000E0077"/>
    <w:rsid w:val="000E0D36"/>
    <w:rsid w:val="000E0FF5"/>
    <w:rsid w:val="000E4B66"/>
    <w:rsid w:val="000E53F1"/>
    <w:rsid w:val="000E7DB6"/>
    <w:rsid w:val="000F02BB"/>
    <w:rsid w:val="000F0F86"/>
    <w:rsid w:val="000F16BA"/>
    <w:rsid w:val="000F30AE"/>
    <w:rsid w:val="000F3C14"/>
    <w:rsid w:val="000F560D"/>
    <w:rsid w:val="000F57C1"/>
    <w:rsid w:val="000F7EC1"/>
    <w:rsid w:val="00101AE7"/>
    <w:rsid w:val="00101BD3"/>
    <w:rsid w:val="001022FD"/>
    <w:rsid w:val="0010295D"/>
    <w:rsid w:val="00102D2C"/>
    <w:rsid w:val="00104688"/>
    <w:rsid w:val="00104F98"/>
    <w:rsid w:val="00105251"/>
    <w:rsid w:val="0010526A"/>
    <w:rsid w:val="00106EAA"/>
    <w:rsid w:val="001126FC"/>
    <w:rsid w:val="001127F7"/>
    <w:rsid w:val="0011484B"/>
    <w:rsid w:val="001160E1"/>
    <w:rsid w:val="001161EF"/>
    <w:rsid w:val="001177F1"/>
    <w:rsid w:val="00121C18"/>
    <w:rsid w:val="00122446"/>
    <w:rsid w:val="001227B1"/>
    <w:rsid w:val="00123393"/>
    <w:rsid w:val="00124451"/>
    <w:rsid w:val="00124E74"/>
    <w:rsid w:val="00125236"/>
    <w:rsid w:val="0012614D"/>
    <w:rsid w:val="00126EA2"/>
    <w:rsid w:val="00130AB8"/>
    <w:rsid w:val="00131260"/>
    <w:rsid w:val="00133672"/>
    <w:rsid w:val="00133C61"/>
    <w:rsid w:val="001343AB"/>
    <w:rsid w:val="00134F94"/>
    <w:rsid w:val="001355A4"/>
    <w:rsid w:val="00135FAF"/>
    <w:rsid w:val="00137936"/>
    <w:rsid w:val="001406EF"/>
    <w:rsid w:val="00140712"/>
    <w:rsid w:val="00143ED6"/>
    <w:rsid w:val="00146AA2"/>
    <w:rsid w:val="001510DF"/>
    <w:rsid w:val="001512B6"/>
    <w:rsid w:val="00151B91"/>
    <w:rsid w:val="00152691"/>
    <w:rsid w:val="0015283D"/>
    <w:rsid w:val="00152B19"/>
    <w:rsid w:val="00153676"/>
    <w:rsid w:val="00154213"/>
    <w:rsid w:val="001542B9"/>
    <w:rsid w:val="00154AFA"/>
    <w:rsid w:val="00154D54"/>
    <w:rsid w:val="001558F9"/>
    <w:rsid w:val="00156522"/>
    <w:rsid w:val="00156CA1"/>
    <w:rsid w:val="001572BB"/>
    <w:rsid w:val="0015784B"/>
    <w:rsid w:val="001579B8"/>
    <w:rsid w:val="00162576"/>
    <w:rsid w:val="00163442"/>
    <w:rsid w:val="00163650"/>
    <w:rsid w:val="00163ECC"/>
    <w:rsid w:val="00164D43"/>
    <w:rsid w:val="00165749"/>
    <w:rsid w:val="00170734"/>
    <w:rsid w:val="0017078A"/>
    <w:rsid w:val="0017225F"/>
    <w:rsid w:val="0017235B"/>
    <w:rsid w:val="00174AAE"/>
    <w:rsid w:val="001768C8"/>
    <w:rsid w:val="001769B5"/>
    <w:rsid w:val="00177C51"/>
    <w:rsid w:val="001805FA"/>
    <w:rsid w:val="00180618"/>
    <w:rsid w:val="0018269B"/>
    <w:rsid w:val="00182DE2"/>
    <w:rsid w:val="00182F84"/>
    <w:rsid w:val="0018494D"/>
    <w:rsid w:val="00184F00"/>
    <w:rsid w:val="00185508"/>
    <w:rsid w:val="001859C6"/>
    <w:rsid w:val="00185B95"/>
    <w:rsid w:val="00191E29"/>
    <w:rsid w:val="00194686"/>
    <w:rsid w:val="00195AB5"/>
    <w:rsid w:val="00196FA8"/>
    <w:rsid w:val="001A09FF"/>
    <w:rsid w:val="001A1FC7"/>
    <w:rsid w:val="001A230E"/>
    <w:rsid w:val="001A2AA3"/>
    <w:rsid w:val="001A544C"/>
    <w:rsid w:val="001A57CD"/>
    <w:rsid w:val="001A6994"/>
    <w:rsid w:val="001A6D0E"/>
    <w:rsid w:val="001A7142"/>
    <w:rsid w:val="001B394B"/>
    <w:rsid w:val="001B3F73"/>
    <w:rsid w:val="001B46C4"/>
    <w:rsid w:val="001B4E72"/>
    <w:rsid w:val="001B5D6B"/>
    <w:rsid w:val="001B5E5C"/>
    <w:rsid w:val="001B7498"/>
    <w:rsid w:val="001B78DD"/>
    <w:rsid w:val="001B7FDB"/>
    <w:rsid w:val="001C0797"/>
    <w:rsid w:val="001C1BAC"/>
    <w:rsid w:val="001C316F"/>
    <w:rsid w:val="001C4829"/>
    <w:rsid w:val="001C4CA7"/>
    <w:rsid w:val="001C4D9D"/>
    <w:rsid w:val="001C6EE8"/>
    <w:rsid w:val="001C74BC"/>
    <w:rsid w:val="001C76E6"/>
    <w:rsid w:val="001D03E7"/>
    <w:rsid w:val="001D0983"/>
    <w:rsid w:val="001D1C3E"/>
    <w:rsid w:val="001D2F77"/>
    <w:rsid w:val="001D3F6A"/>
    <w:rsid w:val="001E089F"/>
    <w:rsid w:val="001E0B88"/>
    <w:rsid w:val="001E21D8"/>
    <w:rsid w:val="001E47D8"/>
    <w:rsid w:val="001E552B"/>
    <w:rsid w:val="001E5E77"/>
    <w:rsid w:val="001E69E8"/>
    <w:rsid w:val="001E7A57"/>
    <w:rsid w:val="001E7FFC"/>
    <w:rsid w:val="001F1CB7"/>
    <w:rsid w:val="001F2987"/>
    <w:rsid w:val="001F3BF0"/>
    <w:rsid w:val="001F4F6A"/>
    <w:rsid w:val="001F667B"/>
    <w:rsid w:val="001F7037"/>
    <w:rsid w:val="002002C6"/>
    <w:rsid w:val="002014D2"/>
    <w:rsid w:val="00202BAD"/>
    <w:rsid w:val="002035CA"/>
    <w:rsid w:val="002037EF"/>
    <w:rsid w:val="002048E9"/>
    <w:rsid w:val="002111EA"/>
    <w:rsid w:val="002113C7"/>
    <w:rsid w:val="00211966"/>
    <w:rsid w:val="00214B3C"/>
    <w:rsid w:val="00215497"/>
    <w:rsid w:val="00216F31"/>
    <w:rsid w:val="00216F5A"/>
    <w:rsid w:val="00217AC5"/>
    <w:rsid w:val="00221430"/>
    <w:rsid w:val="00221B7F"/>
    <w:rsid w:val="00222AE3"/>
    <w:rsid w:val="002270E4"/>
    <w:rsid w:val="00227C86"/>
    <w:rsid w:val="0023022A"/>
    <w:rsid w:val="0023159F"/>
    <w:rsid w:val="002327EC"/>
    <w:rsid w:val="00233FD8"/>
    <w:rsid w:val="0023598D"/>
    <w:rsid w:val="002362C5"/>
    <w:rsid w:val="002362E2"/>
    <w:rsid w:val="002404D0"/>
    <w:rsid w:val="00241E21"/>
    <w:rsid w:val="0024274B"/>
    <w:rsid w:val="00242992"/>
    <w:rsid w:val="00243C2E"/>
    <w:rsid w:val="002441D5"/>
    <w:rsid w:val="00245193"/>
    <w:rsid w:val="00247601"/>
    <w:rsid w:val="00247D0D"/>
    <w:rsid w:val="00252440"/>
    <w:rsid w:val="0025245B"/>
    <w:rsid w:val="00252DC7"/>
    <w:rsid w:val="002539EA"/>
    <w:rsid w:val="00255815"/>
    <w:rsid w:val="00255963"/>
    <w:rsid w:val="0025606D"/>
    <w:rsid w:val="00256A6B"/>
    <w:rsid w:val="002577A4"/>
    <w:rsid w:val="00257988"/>
    <w:rsid w:val="00261737"/>
    <w:rsid w:val="00263411"/>
    <w:rsid w:val="002636B4"/>
    <w:rsid w:val="00265536"/>
    <w:rsid w:val="002662FF"/>
    <w:rsid w:val="00270132"/>
    <w:rsid w:val="0027026B"/>
    <w:rsid w:val="002709AF"/>
    <w:rsid w:val="002711D2"/>
    <w:rsid w:val="002719E9"/>
    <w:rsid w:val="00272513"/>
    <w:rsid w:val="00275451"/>
    <w:rsid w:val="00275516"/>
    <w:rsid w:val="00276DEA"/>
    <w:rsid w:val="002772B3"/>
    <w:rsid w:val="00277C5F"/>
    <w:rsid w:val="00280607"/>
    <w:rsid w:val="00281107"/>
    <w:rsid w:val="00281C50"/>
    <w:rsid w:val="00282724"/>
    <w:rsid w:val="00283099"/>
    <w:rsid w:val="00283A29"/>
    <w:rsid w:val="00283BAB"/>
    <w:rsid w:val="0028484E"/>
    <w:rsid w:val="00284AA1"/>
    <w:rsid w:val="002906A6"/>
    <w:rsid w:val="0029176F"/>
    <w:rsid w:val="002919D3"/>
    <w:rsid w:val="002923FD"/>
    <w:rsid w:val="002929E5"/>
    <w:rsid w:val="00292F50"/>
    <w:rsid w:val="0029399F"/>
    <w:rsid w:val="002952F3"/>
    <w:rsid w:val="00295400"/>
    <w:rsid w:val="00296020"/>
    <w:rsid w:val="00296863"/>
    <w:rsid w:val="002A26D4"/>
    <w:rsid w:val="002A384A"/>
    <w:rsid w:val="002A3D76"/>
    <w:rsid w:val="002A5767"/>
    <w:rsid w:val="002A5F2F"/>
    <w:rsid w:val="002A6054"/>
    <w:rsid w:val="002A606A"/>
    <w:rsid w:val="002A6945"/>
    <w:rsid w:val="002A7F1D"/>
    <w:rsid w:val="002B0FC3"/>
    <w:rsid w:val="002B1A1F"/>
    <w:rsid w:val="002B39D1"/>
    <w:rsid w:val="002B3A52"/>
    <w:rsid w:val="002B67E2"/>
    <w:rsid w:val="002B6B79"/>
    <w:rsid w:val="002B6DC2"/>
    <w:rsid w:val="002B701E"/>
    <w:rsid w:val="002C166D"/>
    <w:rsid w:val="002C23BD"/>
    <w:rsid w:val="002C3483"/>
    <w:rsid w:val="002C39C2"/>
    <w:rsid w:val="002C603C"/>
    <w:rsid w:val="002C6806"/>
    <w:rsid w:val="002C6C03"/>
    <w:rsid w:val="002C78EC"/>
    <w:rsid w:val="002C7F5F"/>
    <w:rsid w:val="002D0ED3"/>
    <w:rsid w:val="002D2558"/>
    <w:rsid w:val="002D4715"/>
    <w:rsid w:val="002D5266"/>
    <w:rsid w:val="002D6EE9"/>
    <w:rsid w:val="002D7D15"/>
    <w:rsid w:val="002E11A5"/>
    <w:rsid w:val="002E138C"/>
    <w:rsid w:val="002E44ED"/>
    <w:rsid w:val="002E635D"/>
    <w:rsid w:val="002F1462"/>
    <w:rsid w:val="002F21B3"/>
    <w:rsid w:val="002F29BC"/>
    <w:rsid w:val="002F5C19"/>
    <w:rsid w:val="002F65C4"/>
    <w:rsid w:val="002F6617"/>
    <w:rsid w:val="003024F8"/>
    <w:rsid w:val="00302595"/>
    <w:rsid w:val="00302F26"/>
    <w:rsid w:val="00304331"/>
    <w:rsid w:val="00304AE3"/>
    <w:rsid w:val="003072D8"/>
    <w:rsid w:val="00307CD7"/>
    <w:rsid w:val="00310982"/>
    <w:rsid w:val="00310B28"/>
    <w:rsid w:val="003131DD"/>
    <w:rsid w:val="00313824"/>
    <w:rsid w:val="003142E8"/>
    <w:rsid w:val="00314350"/>
    <w:rsid w:val="00314A3D"/>
    <w:rsid w:val="00317290"/>
    <w:rsid w:val="003175E5"/>
    <w:rsid w:val="00317AEE"/>
    <w:rsid w:val="00320382"/>
    <w:rsid w:val="00321085"/>
    <w:rsid w:val="003215C8"/>
    <w:rsid w:val="00322256"/>
    <w:rsid w:val="0032498D"/>
    <w:rsid w:val="0032505F"/>
    <w:rsid w:val="00327BAA"/>
    <w:rsid w:val="00330B4F"/>
    <w:rsid w:val="00331B8A"/>
    <w:rsid w:val="00332242"/>
    <w:rsid w:val="0033271D"/>
    <w:rsid w:val="00333297"/>
    <w:rsid w:val="0033433B"/>
    <w:rsid w:val="0033733D"/>
    <w:rsid w:val="00340299"/>
    <w:rsid w:val="00341183"/>
    <w:rsid w:val="00343516"/>
    <w:rsid w:val="0034545F"/>
    <w:rsid w:val="003455B2"/>
    <w:rsid w:val="00345691"/>
    <w:rsid w:val="00347012"/>
    <w:rsid w:val="0034717E"/>
    <w:rsid w:val="00347488"/>
    <w:rsid w:val="00347C19"/>
    <w:rsid w:val="00350084"/>
    <w:rsid w:val="0035109A"/>
    <w:rsid w:val="00351B94"/>
    <w:rsid w:val="00352196"/>
    <w:rsid w:val="00352D84"/>
    <w:rsid w:val="003531DA"/>
    <w:rsid w:val="00355A67"/>
    <w:rsid w:val="003560EE"/>
    <w:rsid w:val="00357575"/>
    <w:rsid w:val="00362613"/>
    <w:rsid w:val="00363CEC"/>
    <w:rsid w:val="003666B1"/>
    <w:rsid w:val="00367031"/>
    <w:rsid w:val="003678A4"/>
    <w:rsid w:val="00367CB2"/>
    <w:rsid w:val="0037043E"/>
    <w:rsid w:val="00372203"/>
    <w:rsid w:val="00372EA0"/>
    <w:rsid w:val="003758F9"/>
    <w:rsid w:val="00377DF6"/>
    <w:rsid w:val="0038084D"/>
    <w:rsid w:val="00380D17"/>
    <w:rsid w:val="00380EAB"/>
    <w:rsid w:val="00384903"/>
    <w:rsid w:val="003853DE"/>
    <w:rsid w:val="00386151"/>
    <w:rsid w:val="0038681F"/>
    <w:rsid w:val="00387A3F"/>
    <w:rsid w:val="00390364"/>
    <w:rsid w:val="003925A9"/>
    <w:rsid w:val="00393BCE"/>
    <w:rsid w:val="00393C3D"/>
    <w:rsid w:val="00393DB9"/>
    <w:rsid w:val="00394257"/>
    <w:rsid w:val="003946CA"/>
    <w:rsid w:val="003949E0"/>
    <w:rsid w:val="00394A66"/>
    <w:rsid w:val="00394C4D"/>
    <w:rsid w:val="003951ED"/>
    <w:rsid w:val="00395C3F"/>
    <w:rsid w:val="00397246"/>
    <w:rsid w:val="0039781F"/>
    <w:rsid w:val="003A0966"/>
    <w:rsid w:val="003A0F0B"/>
    <w:rsid w:val="003A206A"/>
    <w:rsid w:val="003A28F5"/>
    <w:rsid w:val="003A36EF"/>
    <w:rsid w:val="003A4F25"/>
    <w:rsid w:val="003A5E71"/>
    <w:rsid w:val="003A6A00"/>
    <w:rsid w:val="003A6C64"/>
    <w:rsid w:val="003A6FED"/>
    <w:rsid w:val="003A754E"/>
    <w:rsid w:val="003B0D7C"/>
    <w:rsid w:val="003B1572"/>
    <w:rsid w:val="003B4775"/>
    <w:rsid w:val="003B47ED"/>
    <w:rsid w:val="003B7375"/>
    <w:rsid w:val="003B75CB"/>
    <w:rsid w:val="003C03A4"/>
    <w:rsid w:val="003C1097"/>
    <w:rsid w:val="003C37FE"/>
    <w:rsid w:val="003C5037"/>
    <w:rsid w:val="003C574C"/>
    <w:rsid w:val="003C60E2"/>
    <w:rsid w:val="003C61FC"/>
    <w:rsid w:val="003D0715"/>
    <w:rsid w:val="003D1036"/>
    <w:rsid w:val="003D11C4"/>
    <w:rsid w:val="003D1639"/>
    <w:rsid w:val="003D20AE"/>
    <w:rsid w:val="003D229E"/>
    <w:rsid w:val="003D33C5"/>
    <w:rsid w:val="003E043F"/>
    <w:rsid w:val="003E0928"/>
    <w:rsid w:val="003E0DE8"/>
    <w:rsid w:val="003E1376"/>
    <w:rsid w:val="003E1AEF"/>
    <w:rsid w:val="003E297C"/>
    <w:rsid w:val="003E3822"/>
    <w:rsid w:val="003E4284"/>
    <w:rsid w:val="003E43D4"/>
    <w:rsid w:val="003E484B"/>
    <w:rsid w:val="003E4A87"/>
    <w:rsid w:val="003E56DD"/>
    <w:rsid w:val="003E6553"/>
    <w:rsid w:val="003E7C17"/>
    <w:rsid w:val="003F04A4"/>
    <w:rsid w:val="003F05F6"/>
    <w:rsid w:val="003F0AA9"/>
    <w:rsid w:val="003F0FFE"/>
    <w:rsid w:val="003F23F6"/>
    <w:rsid w:val="00403A63"/>
    <w:rsid w:val="00403FF3"/>
    <w:rsid w:val="004060E1"/>
    <w:rsid w:val="004128BA"/>
    <w:rsid w:val="0041316C"/>
    <w:rsid w:val="00413D7E"/>
    <w:rsid w:val="004140CF"/>
    <w:rsid w:val="00415A3C"/>
    <w:rsid w:val="004212F9"/>
    <w:rsid w:val="00422E5B"/>
    <w:rsid w:val="00424BB4"/>
    <w:rsid w:val="00424E60"/>
    <w:rsid w:val="004252DB"/>
    <w:rsid w:val="004252E3"/>
    <w:rsid w:val="00426570"/>
    <w:rsid w:val="00430815"/>
    <w:rsid w:val="00430A39"/>
    <w:rsid w:val="004328E1"/>
    <w:rsid w:val="00434DFE"/>
    <w:rsid w:val="00435690"/>
    <w:rsid w:val="00435A46"/>
    <w:rsid w:val="00436C6A"/>
    <w:rsid w:val="0043791D"/>
    <w:rsid w:val="00437DBE"/>
    <w:rsid w:val="004403C5"/>
    <w:rsid w:val="00442D4E"/>
    <w:rsid w:val="00442F23"/>
    <w:rsid w:val="00445F8C"/>
    <w:rsid w:val="0044659F"/>
    <w:rsid w:val="0044740F"/>
    <w:rsid w:val="00447485"/>
    <w:rsid w:val="00447AC5"/>
    <w:rsid w:val="00451658"/>
    <w:rsid w:val="00451BCE"/>
    <w:rsid w:val="00451DD4"/>
    <w:rsid w:val="00452F7F"/>
    <w:rsid w:val="00455615"/>
    <w:rsid w:val="004577CA"/>
    <w:rsid w:val="00457CC8"/>
    <w:rsid w:val="00457E2B"/>
    <w:rsid w:val="00463FA1"/>
    <w:rsid w:val="00467D4E"/>
    <w:rsid w:val="0047062F"/>
    <w:rsid w:val="00470997"/>
    <w:rsid w:val="00470CF8"/>
    <w:rsid w:val="00474853"/>
    <w:rsid w:val="00475472"/>
    <w:rsid w:val="00476C0D"/>
    <w:rsid w:val="004774F7"/>
    <w:rsid w:val="00480629"/>
    <w:rsid w:val="00481E19"/>
    <w:rsid w:val="00483D07"/>
    <w:rsid w:val="00484A55"/>
    <w:rsid w:val="0048677A"/>
    <w:rsid w:val="0048725F"/>
    <w:rsid w:val="00491A03"/>
    <w:rsid w:val="00491B59"/>
    <w:rsid w:val="00492B7F"/>
    <w:rsid w:val="00492CF8"/>
    <w:rsid w:val="00494C37"/>
    <w:rsid w:val="00494E9E"/>
    <w:rsid w:val="00495458"/>
    <w:rsid w:val="004A07B4"/>
    <w:rsid w:val="004A2918"/>
    <w:rsid w:val="004A3BA9"/>
    <w:rsid w:val="004A4983"/>
    <w:rsid w:val="004B0005"/>
    <w:rsid w:val="004B1A5F"/>
    <w:rsid w:val="004B4247"/>
    <w:rsid w:val="004B4823"/>
    <w:rsid w:val="004B5239"/>
    <w:rsid w:val="004B5262"/>
    <w:rsid w:val="004B698B"/>
    <w:rsid w:val="004B6DAA"/>
    <w:rsid w:val="004C0900"/>
    <w:rsid w:val="004C12ED"/>
    <w:rsid w:val="004C2013"/>
    <w:rsid w:val="004C20AA"/>
    <w:rsid w:val="004C747F"/>
    <w:rsid w:val="004D03AF"/>
    <w:rsid w:val="004D08B3"/>
    <w:rsid w:val="004D1148"/>
    <w:rsid w:val="004D1256"/>
    <w:rsid w:val="004D13A7"/>
    <w:rsid w:val="004D4479"/>
    <w:rsid w:val="004E05FD"/>
    <w:rsid w:val="004E365F"/>
    <w:rsid w:val="004E4C7C"/>
    <w:rsid w:val="004E7310"/>
    <w:rsid w:val="004E76AD"/>
    <w:rsid w:val="004F29CC"/>
    <w:rsid w:val="004F3E9D"/>
    <w:rsid w:val="004F40B4"/>
    <w:rsid w:val="004F5E6F"/>
    <w:rsid w:val="004F5FF8"/>
    <w:rsid w:val="004F60CF"/>
    <w:rsid w:val="004F66E6"/>
    <w:rsid w:val="004F6FA9"/>
    <w:rsid w:val="004F7072"/>
    <w:rsid w:val="0050108E"/>
    <w:rsid w:val="00501CD3"/>
    <w:rsid w:val="005022FB"/>
    <w:rsid w:val="00503D25"/>
    <w:rsid w:val="00507658"/>
    <w:rsid w:val="00510B0A"/>
    <w:rsid w:val="00510C0C"/>
    <w:rsid w:val="005132AE"/>
    <w:rsid w:val="005139BB"/>
    <w:rsid w:val="005140E1"/>
    <w:rsid w:val="00516172"/>
    <w:rsid w:val="005204E0"/>
    <w:rsid w:val="00520ACD"/>
    <w:rsid w:val="005237E3"/>
    <w:rsid w:val="005256E3"/>
    <w:rsid w:val="00527AFB"/>
    <w:rsid w:val="005303D6"/>
    <w:rsid w:val="005303D9"/>
    <w:rsid w:val="00530C84"/>
    <w:rsid w:val="00530E93"/>
    <w:rsid w:val="005318FF"/>
    <w:rsid w:val="00532C94"/>
    <w:rsid w:val="0053332C"/>
    <w:rsid w:val="00534815"/>
    <w:rsid w:val="00535037"/>
    <w:rsid w:val="005358BE"/>
    <w:rsid w:val="0053592F"/>
    <w:rsid w:val="00535BBF"/>
    <w:rsid w:val="005379BE"/>
    <w:rsid w:val="00537B02"/>
    <w:rsid w:val="00543249"/>
    <w:rsid w:val="00544386"/>
    <w:rsid w:val="00544B41"/>
    <w:rsid w:val="005457B1"/>
    <w:rsid w:val="00546054"/>
    <w:rsid w:val="00547EDD"/>
    <w:rsid w:val="00550473"/>
    <w:rsid w:val="005537A8"/>
    <w:rsid w:val="00553C8E"/>
    <w:rsid w:val="0055460F"/>
    <w:rsid w:val="00554C40"/>
    <w:rsid w:val="00556789"/>
    <w:rsid w:val="0055690E"/>
    <w:rsid w:val="00556C67"/>
    <w:rsid w:val="00557FD7"/>
    <w:rsid w:val="00560E32"/>
    <w:rsid w:val="00565799"/>
    <w:rsid w:val="00571E97"/>
    <w:rsid w:val="00572BFB"/>
    <w:rsid w:val="005744A1"/>
    <w:rsid w:val="00575497"/>
    <w:rsid w:val="00575BD3"/>
    <w:rsid w:val="00577FDF"/>
    <w:rsid w:val="005809F7"/>
    <w:rsid w:val="0058105A"/>
    <w:rsid w:val="00582760"/>
    <w:rsid w:val="00582CB3"/>
    <w:rsid w:val="005855EF"/>
    <w:rsid w:val="005865F7"/>
    <w:rsid w:val="00590A49"/>
    <w:rsid w:val="005928FD"/>
    <w:rsid w:val="0059684C"/>
    <w:rsid w:val="0059702D"/>
    <w:rsid w:val="005A0280"/>
    <w:rsid w:val="005A10AC"/>
    <w:rsid w:val="005A23BF"/>
    <w:rsid w:val="005A31F7"/>
    <w:rsid w:val="005A3295"/>
    <w:rsid w:val="005A3895"/>
    <w:rsid w:val="005A3B8D"/>
    <w:rsid w:val="005A55FA"/>
    <w:rsid w:val="005A66D1"/>
    <w:rsid w:val="005A7789"/>
    <w:rsid w:val="005B1109"/>
    <w:rsid w:val="005B1DD7"/>
    <w:rsid w:val="005B229B"/>
    <w:rsid w:val="005B32AC"/>
    <w:rsid w:val="005B3A6B"/>
    <w:rsid w:val="005B43B4"/>
    <w:rsid w:val="005B4CF7"/>
    <w:rsid w:val="005C0A88"/>
    <w:rsid w:val="005C1500"/>
    <w:rsid w:val="005C2649"/>
    <w:rsid w:val="005C3D50"/>
    <w:rsid w:val="005C60F1"/>
    <w:rsid w:val="005D3E3C"/>
    <w:rsid w:val="005D598A"/>
    <w:rsid w:val="005D5E7F"/>
    <w:rsid w:val="005D7A59"/>
    <w:rsid w:val="005D7F13"/>
    <w:rsid w:val="005E074B"/>
    <w:rsid w:val="005E08EF"/>
    <w:rsid w:val="005E17C6"/>
    <w:rsid w:val="005E428D"/>
    <w:rsid w:val="005E666B"/>
    <w:rsid w:val="005F0E36"/>
    <w:rsid w:val="005F0E95"/>
    <w:rsid w:val="005F1EBD"/>
    <w:rsid w:val="005F23E5"/>
    <w:rsid w:val="005F3C8F"/>
    <w:rsid w:val="005F40BD"/>
    <w:rsid w:val="005F499C"/>
    <w:rsid w:val="005F51F3"/>
    <w:rsid w:val="005F58D0"/>
    <w:rsid w:val="005F6832"/>
    <w:rsid w:val="005F78E6"/>
    <w:rsid w:val="005F7F5C"/>
    <w:rsid w:val="00600685"/>
    <w:rsid w:val="0060129D"/>
    <w:rsid w:val="0060148E"/>
    <w:rsid w:val="006044CE"/>
    <w:rsid w:val="0060643D"/>
    <w:rsid w:val="00606F6E"/>
    <w:rsid w:val="006075B3"/>
    <w:rsid w:val="00610637"/>
    <w:rsid w:val="00610C6C"/>
    <w:rsid w:val="0061456C"/>
    <w:rsid w:val="00615E15"/>
    <w:rsid w:val="00615FFC"/>
    <w:rsid w:val="006163E5"/>
    <w:rsid w:val="0062053E"/>
    <w:rsid w:val="006225C7"/>
    <w:rsid w:val="0062343B"/>
    <w:rsid w:val="00624815"/>
    <w:rsid w:val="006258FC"/>
    <w:rsid w:val="00625E23"/>
    <w:rsid w:val="00625F36"/>
    <w:rsid w:val="00626B59"/>
    <w:rsid w:val="00627019"/>
    <w:rsid w:val="0062783C"/>
    <w:rsid w:val="00627F65"/>
    <w:rsid w:val="00630F70"/>
    <w:rsid w:val="006318EC"/>
    <w:rsid w:val="00634A87"/>
    <w:rsid w:val="006350CC"/>
    <w:rsid w:val="006364E9"/>
    <w:rsid w:val="006370D8"/>
    <w:rsid w:val="006401C6"/>
    <w:rsid w:val="00640606"/>
    <w:rsid w:val="006466CD"/>
    <w:rsid w:val="00647EC0"/>
    <w:rsid w:val="0065050B"/>
    <w:rsid w:val="0065082A"/>
    <w:rsid w:val="006521EC"/>
    <w:rsid w:val="00655C99"/>
    <w:rsid w:val="00656DCD"/>
    <w:rsid w:val="00656E1B"/>
    <w:rsid w:val="00657432"/>
    <w:rsid w:val="0065761F"/>
    <w:rsid w:val="006600C0"/>
    <w:rsid w:val="0066083C"/>
    <w:rsid w:val="00662004"/>
    <w:rsid w:val="00665193"/>
    <w:rsid w:val="00670DA8"/>
    <w:rsid w:val="00671311"/>
    <w:rsid w:val="0067160C"/>
    <w:rsid w:val="00671C7B"/>
    <w:rsid w:val="00672291"/>
    <w:rsid w:val="006732E1"/>
    <w:rsid w:val="00673628"/>
    <w:rsid w:val="00674393"/>
    <w:rsid w:val="00675C0D"/>
    <w:rsid w:val="006760FF"/>
    <w:rsid w:val="00677D68"/>
    <w:rsid w:val="006806C8"/>
    <w:rsid w:val="006846ED"/>
    <w:rsid w:val="00684838"/>
    <w:rsid w:val="00684D30"/>
    <w:rsid w:val="00684F29"/>
    <w:rsid w:val="00686D50"/>
    <w:rsid w:val="00687CFA"/>
    <w:rsid w:val="006923E6"/>
    <w:rsid w:val="00693012"/>
    <w:rsid w:val="00693722"/>
    <w:rsid w:val="00693B1F"/>
    <w:rsid w:val="00694AF9"/>
    <w:rsid w:val="0069517B"/>
    <w:rsid w:val="006953C0"/>
    <w:rsid w:val="00695527"/>
    <w:rsid w:val="0069566D"/>
    <w:rsid w:val="0069583E"/>
    <w:rsid w:val="006973CC"/>
    <w:rsid w:val="00697F6E"/>
    <w:rsid w:val="006A17D0"/>
    <w:rsid w:val="006A3B4A"/>
    <w:rsid w:val="006A4563"/>
    <w:rsid w:val="006A79E4"/>
    <w:rsid w:val="006B0A40"/>
    <w:rsid w:val="006B4BFE"/>
    <w:rsid w:val="006B4E42"/>
    <w:rsid w:val="006B5126"/>
    <w:rsid w:val="006C052F"/>
    <w:rsid w:val="006C2364"/>
    <w:rsid w:val="006C48F4"/>
    <w:rsid w:val="006C53F3"/>
    <w:rsid w:val="006C6759"/>
    <w:rsid w:val="006D1216"/>
    <w:rsid w:val="006D2A80"/>
    <w:rsid w:val="006D4CD4"/>
    <w:rsid w:val="006D51D3"/>
    <w:rsid w:val="006D57FD"/>
    <w:rsid w:val="006D75B2"/>
    <w:rsid w:val="006D7690"/>
    <w:rsid w:val="006D7E86"/>
    <w:rsid w:val="006E114B"/>
    <w:rsid w:val="006E1EBF"/>
    <w:rsid w:val="006E72D6"/>
    <w:rsid w:val="006E7AC9"/>
    <w:rsid w:val="006F0C8C"/>
    <w:rsid w:val="006F1C1B"/>
    <w:rsid w:val="006F200D"/>
    <w:rsid w:val="006F50F1"/>
    <w:rsid w:val="006F582D"/>
    <w:rsid w:val="006F5A8E"/>
    <w:rsid w:val="006F742A"/>
    <w:rsid w:val="00700104"/>
    <w:rsid w:val="00700531"/>
    <w:rsid w:val="00701162"/>
    <w:rsid w:val="00701B09"/>
    <w:rsid w:val="00701C5D"/>
    <w:rsid w:val="00702470"/>
    <w:rsid w:val="00702B84"/>
    <w:rsid w:val="00703437"/>
    <w:rsid w:val="0070506E"/>
    <w:rsid w:val="007059D4"/>
    <w:rsid w:val="00705C89"/>
    <w:rsid w:val="00714BC0"/>
    <w:rsid w:val="00715414"/>
    <w:rsid w:val="0071579B"/>
    <w:rsid w:val="00716FEE"/>
    <w:rsid w:val="00717062"/>
    <w:rsid w:val="00717296"/>
    <w:rsid w:val="00721744"/>
    <w:rsid w:val="00723355"/>
    <w:rsid w:val="00723DCD"/>
    <w:rsid w:val="0072459D"/>
    <w:rsid w:val="007253F7"/>
    <w:rsid w:val="007258A4"/>
    <w:rsid w:val="00725CEC"/>
    <w:rsid w:val="00727205"/>
    <w:rsid w:val="007300B8"/>
    <w:rsid w:val="007343FC"/>
    <w:rsid w:val="0073493E"/>
    <w:rsid w:val="00735455"/>
    <w:rsid w:val="00735A8E"/>
    <w:rsid w:val="00735E39"/>
    <w:rsid w:val="007372C7"/>
    <w:rsid w:val="00737DDB"/>
    <w:rsid w:val="00740157"/>
    <w:rsid w:val="007404E7"/>
    <w:rsid w:val="00741F91"/>
    <w:rsid w:val="007428EC"/>
    <w:rsid w:val="007439A5"/>
    <w:rsid w:val="00743EDF"/>
    <w:rsid w:val="0074440A"/>
    <w:rsid w:val="00745372"/>
    <w:rsid w:val="00752409"/>
    <w:rsid w:val="00753A17"/>
    <w:rsid w:val="00753BF2"/>
    <w:rsid w:val="00753CFC"/>
    <w:rsid w:val="0075492E"/>
    <w:rsid w:val="00754A51"/>
    <w:rsid w:val="00754D43"/>
    <w:rsid w:val="0075602C"/>
    <w:rsid w:val="00756235"/>
    <w:rsid w:val="00756461"/>
    <w:rsid w:val="007567EB"/>
    <w:rsid w:val="00760729"/>
    <w:rsid w:val="007609F2"/>
    <w:rsid w:val="00760BC9"/>
    <w:rsid w:val="00761700"/>
    <w:rsid w:val="00763108"/>
    <w:rsid w:val="0076604B"/>
    <w:rsid w:val="00772684"/>
    <w:rsid w:val="00775501"/>
    <w:rsid w:val="0078010C"/>
    <w:rsid w:val="007807DD"/>
    <w:rsid w:val="00782FFA"/>
    <w:rsid w:val="007838DA"/>
    <w:rsid w:val="00783A92"/>
    <w:rsid w:val="007853E2"/>
    <w:rsid w:val="0078723D"/>
    <w:rsid w:val="00790B5D"/>
    <w:rsid w:val="0079258F"/>
    <w:rsid w:val="00793644"/>
    <w:rsid w:val="007941CC"/>
    <w:rsid w:val="00796650"/>
    <w:rsid w:val="0079768E"/>
    <w:rsid w:val="007A1988"/>
    <w:rsid w:val="007A3341"/>
    <w:rsid w:val="007A339D"/>
    <w:rsid w:val="007A44DB"/>
    <w:rsid w:val="007A45E8"/>
    <w:rsid w:val="007A52FC"/>
    <w:rsid w:val="007A5AD2"/>
    <w:rsid w:val="007A5F8F"/>
    <w:rsid w:val="007A70CA"/>
    <w:rsid w:val="007B01B7"/>
    <w:rsid w:val="007B02B9"/>
    <w:rsid w:val="007B05F8"/>
    <w:rsid w:val="007B079C"/>
    <w:rsid w:val="007B1D30"/>
    <w:rsid w:val="007B3615"/>
    <w:rsid w:val="007B455B"/>
    <w:rsid w:val="007B4AED"/>
    <w:rsid w:val="007B5321"/>
    <w:rsid w:val="007C0555"/>
    <w:rsid w:val="007C09CF"/>
    <w:rsid w:val="007C1102"/>
    <w:rsid w:val="007C17A4"/>
    <w:rsid w:val="007C6EBD"/>
    <w:rsid w:val="007C7D25"/>
    <w:rsid w:val="007D16C1"/>
    <w:rsid w:val="007D19E8"/>
    <w:rsid w:val="007D25C7"/>
    <w:rsid w:val="007D2725"/>
    <w:rsid w:val="007D3245"/>
    <w:rsid w:val="007D3527"/>
    <w:rsid w:val="007D5D9B"/>
    <w:rsid w:val="007D6052"/>
    <w:rsid w:val="007D6F26"/>
    <w:rsid w:val="007E1062"/>
    <w:rsid w:val="007E1BAF"/>
    <w:rsid w:val="007E4A33"/>
    <w:rsid w:val="007E4F35"/>
    <w:rsid w:val="007E7040"/>
    <w:rsid w:val="007E7C3B"/>
    <w:rsid w:val="007E7D8E"/>
    <w:rsid w:val="007F17C4"/>
    <w:rsid w:val="007F344E"/>
    <w:rsid w:val="007F45F0"/>
    <w:rsid w:val="0080100F"/>
    <w:rsid w:val="00802462"/>
    <w:rsid w:val="00803808"/>
    <w:rsid w:val="00804A37"/>
    <w:rsid w:val="00804D39"/>
    <w:rsid w:val="00805173"/>
    <w:rsid w:val="008059E2"/>
    <w:rsid w:val="008061C0"/>
    <w:rsid w:val="008071F8"/>
    <w:rsid w:val="00807815"/>
    <w:rsid w:val="00807DA7"/>
    <w:rsid w:val="008121EE"/>
    <w:rsid w:val="008125CD"/>
    <w:rsid w:val="008130EF"/>
    <w:rsid w:val="00814C52"/>
    <w:rsid w:val="00814E0E"/>
    <w:rsid w:val="00815954"/>
    <w:rsid w:val="00815B16"/>
    <w:rsid w:val="00815F6B"/>
    <w:rsid w:val="00817A20"/>
    <w:rsid w:val="00817E8F"/>
    <w:rsid w:val="008215A0"/>
    <w:rsid w:val="008225FC"/>
    <w:rsid w:val="00822A76"/>
    <w:rsid w:val="00822E1E"/>
    <w:rsid w:val="008230BB"/>
    <w:rsid w:val="008234A1"/>
    <w:rsid w:val="00826179"/>
    <w:rsid w:val="00827BE9"/>
    <w:rsid w:val="00830171"/>
    <w:rsid w:val="0083259A"/>
    <w:rsid w:val="00832659"/>
    <w:rsid w:val="00832B70"/>
    <w:rsid w:val="00837DB5"/>
    <w:rsid w:val="00840F62"/>
    <w:rsid w:val="0084192B"/>
    <w:rsid w:val="0084202D"/>
    <w:rsid w:val="00842504"/>
    <w:rsid w:val="008435E6"/>
    <w:rsid w:val="008436CD"/>
    <w:rsid w:val="00843D44"/>
    <w:rsid w:val="00844235"/>
    <w:rsid w:val="0084472E"/>
    <w:rsid w:val="00844909"/>
    <w:rsid w:val="00844F71"/>
    <w:rsid w:val="00846C8A"/>
    <w:rsid w:val="00846ED2"/>
    <w:rsid w:val="008471DC"/>
    <w:rsid w:val="0085038E"/>
    <w:rsid w:val="0085113E"/>
    <w:rsid w:val="008519F6"/>
    <w:rsid w:val="00851A04"/>
    <w:rsid w:val="00851D94"/>
    <w:rsid w:val="00852B9D"/>
    <w:rsid w:val="00853734"/>
    <w:rsid w:val="00854A66"/>
    <w:rsid w:val="00855264"/>
    <w:rsid w:val="008554FA"/>
    <w:rsid w:val="00857342"/>
    <w:rsid w:val="0086023A"/>
    <w:rsid w:val="008608DC"/>
    <w:rsid w:val="00863A46"/>
    <w:rsid w:val="00866035"/>
    <w:rsid w:val="008663CD"/>
    <w:rsid w:val="008703E5"/>
    <w:rsid w:val="008708BE"/>
    <w:rsid w:val="00870B63"/>
    <w:rsid w:val="008735FB"/>
    <w:rsid w:val="00873D0F"/>
    <w:rsid w:val="008747A2"/>
    <w:rsid w:val="00874AE1"/>
    <w:rsid w:val="00875864"/>
    <w:rsid w:val="00875A38"/>
    <w:rsid w:val="00875B1F"/>
    <w:rsid w:val="00877873"/>
    <w:rsid w:val="0087791B"/>
    <w:rsid w:val="00877DC6"/>
    <w:rsid w:val="008835AC"/>
    <w:rsid w:val="00883849"/>
    <w:rsid w:val="008842EC"/>
    <w:rsid w:val="00885239"/>
    <w:rsid w:val="00885BE0"/>
    <w:rsid w:val="008876D8"/>
    <w:rsid w:val="0088798E"/>
    <w:rsid w:val="0089238B"/>
    <w:rsid w:val="00894D1F"/>
    <w:rsid w:val="008A0346"/>
    <w:rsid w:val="008A2D03"/>
    <w:rsid w:val="008A3433"/>
    <w:rsid w:val="008A46CB"/>
    <w:rsid w:val="008B0F90"/>
    <w:rsid w:val="008B0FD1"/>
    <w:rsid w:val="008B3554"/>
    <w:rsid w:val="008B46CA"/>
    <w:rsid w:val="008B4809"/>
    <w:rsid w:val="008B4A87"/>
    <w:rsid w:val="008B69CD"/>
    <w:rsid w:val="008C037F"/>
    <w:rsid w:val="008C0BDD"/>
    <w:rsid w:val="008C0F89"/>
    <w:rsid w:val="008C1680"/>
    <w:rsid w:val="008C4C26"/>
    <w:rsid w:val="008C6E72"/>
    <w:rsid w:val="008D0071"/>
    <w:rsid w:val="008D0394"/>
    <w:rsid w:val="008D26D8"/>
    <w:rsid w:val="008D337E"/>
    <w:rsid w:val="008D44A9"/>
    <w:rsid w:val="008D488A"/>
    <w:rsid w:val="008D5C01"/>
    <w:rsid w:val="008D672A"/>
    <w:rsid w:val="008D7187"/>
    <w:rsid w:val="008D78FB"/>
    <w:rsid w:val="008D7CA7"/>
    <w:rsid w:val="008E0185"/>
    <w:rsid w:val="008E1623"/>
    <w:rsid w:val="008E24CD"/>
    <w:rsid w:val="008E5AC8"/>
    <w:rsid w:val="008E6143"/>
    <w:rsid w:val="008E6615"/>
    <w:rsid w:val="008E68AA"/>
    <w:rsid w:val="008E6A81"/>
    <w:rsid w:val="008F1050"/>
    <w:rsid w:val="008F33CF"/>
    <w:rsid w:val="008F352C"/>
    <w:rsid w:val="008F513D"/>
    <w:rsid w:val="008F51BA"/>
    <w:rsid w:val="008F5FFB"/>
    <w:rsid w:val="008F6921"/>
    <w:rsid w:val="008F789A"/>
    <w:rsid w:val="00901178"/>
    <w:rsid w:val="009028FE"/>
    <w:rsid w:val="00903AF9"/>
    <w:rsid w:val="0091041B"/>
    <w:rsid w:val="00910740"/>
    <w:rsid w:val="0091101D"/>
    <w:rsid w:val="00911F27"/>
    <w:rsid w:val="00913A11"/>
    <w:rsid w:val="00917625"/>
    <w:rsid w:val="009215BB"/>
    <w:rsid w:val="00921740"/>
    <w:rsid w:val="0092176C"/>
    <w:rsid w:val="00926B67"/>
    <w:rsid w:val="00927165"/>
    <w:rsid w:val="00927AF5"/>
    <w:rsid w:val="009309DD"/>
    <w:rsid w:val="00931120"/>
    <w:rsid w:val="00931820"/>
    <w:rsid w:val="00932645"/>
    <w:rsid w:val="00933236"/>
    <w:rsid w:val="00933C6E"/>
    <w:rsid w:val="00934994"/>
    <w:rsid w:val="0093526B"/>
    <w:rsid w:val="00935473"/>
    <w:rsid w:val="00942AED"/>
    <w:rsid w:val="0094370E"/>
    <w:rsid w:val="00946D2C"/>
    <w:rsid w:val="009476D8"/>
    <w:rsid w:val="0095029C"/>
    <w:rsid w:val="009538DA"/>
    <w:rsid w:val="009555E9"/>
    <w:rsid w:val="009556B3"/>
    <w:rsid w:val="009569EF"/>
    <w:rsid w:val="009576DA"/>
    <w:rsid w:val="00962517"/>
    <w:rsid w:val="00962760"/>
    <w:rsid w:val="00965C4C"/>
    <w:rsid w:val="009718B2"/>
    <w:rsid w:val="00971930"/>
    <w:rsid w:val="00972DE8"/>
    <w:rsid w:val="0097460C"/>
    <w:rsid w:val="0097697C"/>
    <w:rsid w:val="0098087E"/>
    <w:rsid w:val="00981DE4"/>
    <w:rsid w:val="00984668"/>
    <w:rsid w:val="00984E2E"/>
    <w:rsid w:val="00985C01"/>
    <w:rsid w:val="009862AA"/>
    <w:rsid w:val="009864A8"/>
    <w:rsid w:val="00986871"/>
    <w:rsid w:val="00986F15"/>
    <w:rsid w:val="009907AF"/>
    <w:rsid w:val="00990BAA"/>
    <w:rsid w:val="00991078"/>
    <w:rsid w:val="0099117E"/>
    <w:rsid w:val="0099434C"/>
    <w:rsid w:val="009943AC"/>
    <w:rsid w:val="00994705"/>
    <w:rsid w:val="009A0644"/>
    <w:rsid w:val="009A2058"/>
    <w:rsid w:val="009A22DF"/>
    <w:rsid w:val="009A24C5"/>
    <w:rsid w:val="009A2855"/>
    <w:rsid w:val="009A4232"/>
    <w:rsid w:val="009A425A"/>
    <w:rsid w:val="009A44DA"/>
    <w:rsid w:val="009A5013"/>
    <w:rsid w:val="009A70DA"/>
    <w:rsid w:val="009B0F26"/>
    <w:rsid w:val="009B35E7"/>
    <w:rsid w:val="009B3BEE"/>
    <w:rsid w:val="009B3FE2"/>
    <w:rsid w:val="009B5661"/>
    <w:rsid w:val="009B6211"/>
    <w:rsid w:val="009B723B"/>
    <w:rsid w:val="009C0CF1"/>
    <w:rsid w:val="009C358A"/>
    <w:rsid w:val="009C3A6F"/>
    <w:rsid w:val="009C57CD"/>
    <w:rsid w:val="009C5D74"/>
    <w:rsid w:val="009C66F3"/>
    <w:rsid w:val="009C735D"/>
    <w:rsid w:val="009C7965"/>
    <w:rsid w:val="009D1CFB"/>
    <w:rsid w:val="009D2EE2"/>
    <w:rsid w:val="009D375A"/>
    <w:rsid w:val="009D732E"/>
    <w:rsid w:val="009E0466"/>
    <w:rsid w:val="009E0863"/>
    <w:rsid w:val="009E0C89"/>
    <w:rsid w:val="009E0EDF"/>
    <w:rsid w:val="009E35B2"/>
    <w:rsid w:val="009E47E8"/>
    <w:rsid w:val="009F03CF"/>
    <w:rsid w:val="009F2FD9"/>
    <w:rsid w:val="009F550C"/>
    <w:rsid w:val="009F6D1B"/>
    <w:rsid w:val="009F719E"/>
    <w:rsid w:val="00A00E28"/>
    <w:rsid w:val="00A01FF3"/>
    <w:rsid w:val="00A057D8"/>
    <w:rsid w:val="00A05FC4"/>
    <w:rsid w:val="00A06D93"/>
    <w:rsid w:val="00A07420"/>
    <w:rsid w:val="00A119E3"/>
    <w:rsid w:val="00A11B03"/>
    <w:rsid w:val="00A12162"/>
    <w:rsid w:val="00A13FC6"/>
    <w:rsid w:val="00A14417"/>
    <w:rsid w:val="00A144B9"/>
    <w:rsid w:val="00A15111"/>
    <w:rsid w:val="00A2105B"/>
    <w:rsid w:val="00A21CED"/>
    <w:rsid w:val="00A230C4"/>
    <w:rsid w:val="00A24244"/>
    <w:rsid w:val="00A27141"/>
    <w:rsid w:val="00A276A5"/>
    <w:rsid w:val="00A3107D"/>
    <w:rsid w:val="00A3154A"/>
    <w:rsid w:val="00A316AF"/>
    <w:rsid w:val="00A32614"/>
    <w:rsid w:val="00A32727"/>
    <w:rsid w:val="00A34C2C"/>
    <w:rsid w:val="00A36589"/>
    <w:rsid w:val="00A4038A"/>
    <w:rsid w:val="00A40CCE"/>
    <w:rsid w:val="00A40DBB"/>
    <w:rsid w:val="00A412E4"/>
    <w:rsid w:val="00A42D1B"/>
    <w:rsid w:val="00A446E3"/>
    <w:rsid w:val="00A47466"/>
    <w:rsid w:val="00A50025"/>
    <w:rsid w:val="00A5020F"/>
    <w:rsid w:val="00A508BB"/>
    <w:rsid w:val="00A50F5C"/>
    <w:rsid w:val="00A5158A"/>
    <w:rsid w:val="00A538A4"/>
    <w:rsid w:val="00A53C22"/>
    <w:rsid w:val="00A541E2"/>
    <w:rsid w:val="00A54BF9"/>
    <w:rsid w:val="00A54C1F"/>
    <w:rsid w:val="00A54EFE"/>
    <w:rsid w:val="00A5575A"/>
    <w:rsid w:val="00A55F33"/>
    <w:rsid w:val="00A55FB1"/>
    <w:rsid w:val="00A56AE1"/>
    <w:rsid w:val="00A57552"/>
    <w:rsid w:val="00A60843"/>
    <w:rsid w:val="00A614E4"/>
    <w:rsid w:val="00A61C9D"/>
    <w:rsid w:val="00A61E52"/>
    <w:rsid w:val="00A62AB9"/>
    <w:rsid w:val="00A62B45"/>
    <w:rsid w:val="00A63306"/>
    <w:rsid w:val="00A6347D"/>
    <w:rsid w:val="00A63E2D"/>
    <w:rsid w:val="00A64062"/>
    <w:rsid w:val="00A64201"/>
    <w:rsid w:val="00A660CD"/>
    <w:rsid w:val="00A668C3"/>
    <w:rsid w:val="00A67229"/>
    <w:rsid w:val="00A6781C"/>
    <w:rsid w:val="00A67E87"/>
    <w:rsid w:val="00A70641"/>
    <w:rsid w:val="00A71118"/>
    <w:rsid w:val="00A713F1"/>
    <w:rsid w:val="00A71CF1"/>
    <w:rsid w:val="00A72238"/>
    <w:rsid w:val="00A75B25"/>
    <w:rsid w:val="00A767B8"/>
    <w:rsid w:val="00A7787B"/>
    <w:rsid w:val="00A77D76"/>
    <w:rsid w:val="00A80890"/>
    <w:rsid w:val="00A80D02"/>
    <w:rsid w:val="00A813DF"/>
    <w:rsid w:val="00A85BE8"/>
    <w:rsid w:val="00A862AB"/>
    <w:rsid w:val="00A86D63"/>
    <w:rsid w:val="00A91AFB"/>
    <w:rsid w:val="00A9402A"/>
    <w:rsid w:val="00A94829"/>
    <w:rsid w:val="00A9550F"/>
    <w:rsid w:val="00A95819"/>
    <w:rsid w:val="00A964C9"/>
    <w:rsid w:val="00A97433"/>
    <w:rsid w:val="00A97526"/>
    <w:rsid w:val="00A97DCB"/>
    <w:rsid w:val="00AA1797"/>
    <w:rsid w:val="00AA1E7D"/>
    <w:rsid w:val="00AA5493"/>
    <w:rsid w:val="00AA54D3"/>
    <w:rsid w:val="00AA6754"/>
    <w:rsid w:val="00AA6E3F"/>
    <w:rsid w:val="00AB011E"/>
    <w:rsid w:val="00AB1638"/>
    <w:rsid w:val="00AB1ADE"/>
    <w:rsid w:val="00AB299B"/>
    <w:rsid w:val="00AB3333"/>
    <w:rsid w:val="00AB3982"/>
    <w:rsid w:val="00AB4575"/>
    <w:rsid w:val="00AB62B6"/>
    <w:rsid w:val="00AC02E9"/>
    <w:rsid w:val="00AC1548"/>
    <w:rsid w:val="00AC1C2A"/>
    <w:rsid w:val="00AC1E46"/>
    <w:rsid w:val="00AC273D"/>
    <w:rsid w:val="00AC2E75"/>
    <w:rsid w:val="00AD0A63"/>
    <w:rsid w:val="00AD134F"/>
    <w:rsid w:val="00AD155C"/>
    <w:rsid w:val="00AD23B9"/>
    <w:rsid w:val="00AD325A"/>
    <w:rsid w:val="00AD4E54"/>
    <w:rsid w:val="00AD5446"/>
    <w:rsid w:val="00AE0448"/>
    <w:rsid w:val="00AE073E"/>
    <w:rsid w:val="00AE1E2E"/>
    <w:rsid w:val="00AE3A9D"/>
    <w:rsid w:val="00AE4BD2"/>
    <w:rsid w:val="00AE7597"/>
    <w:rsid w:val="00AF21B2"/>
    <w:rsid w:val="00AF23CF"/>
    <w:rsid w:val="00AF4FB9"/>
    <w:rsid w:val="00AF5165"/>
    <w:rsid w:val="00AF5F8A"/>
    <w:rsid w:val="00AF6349"/>
    <w:rsid w:val="00B00AB8"/>
    <w:rsid w:val="00B03169"/>
    <w:rsid w:val="00B0395F"/>
    <w:rsid w:val="00B0413E"/>
    <w:rsid w:val="00B04F28"/>
    <w:rsid w:val="00B06641"/>
    <w:rsid w:val="00B11063"/>
    <w:rsid w:val="00B120DB"/>
    <w:rsid w:val="00B1285B"/>
    <w:rsid w:val="00B13084"/>
    <w:rsid w:val="00B14374"/>
    <w:rsid w:val="00B15919"/>
    <w:rsid w:val="00B16B86"/>
    <w:rsid w:val="00B17440"/>
    <w:rsid w:val="00B17F52"/>
    <w:rsid w:val="00B23D7A"/>
    <w:rsid w:val="00B245C7"/>
    <w:rsid w:val="00B25310"/>
    <w:rsid w:val="00B27AB5"/>
    <w:rsid w:val="00B27D9C"/>
    <w:rsid w:val="00B30F2D"/>
    <w:rsid w:val="00B3110B"/>
    <w:rsid w:val="00B316B1"/>
    <w:rsid w:val="00B31739"/>
    <w:rsid w:val="00B32A72"/>
    <w:rsid w:val="00B32C26"/>
    <w:rsid w:val="00B359DA"/>
    <w:rsid w:val="00B35A6B"/>
    <w:rsid w:val="00B365A4"/>
    <w:rsid w:val="00B37BA4"/>
    <w:rsid w:val="00B4066D"/>
    <w:rsid w:val="00B41A68"/>
    <w:rsid w:val="00B41C89"/>
    <w:rsid w:val="00B41FA4"/>
    <w:rsid w:val="00B4206A"/>
    <w:rsid w:val="00B4222F"/>
    <w:rsid w:val="00B45188"/>
    <w:rsid w:val="00B46E60"/>
    <w:rsid w:val="00B47C87"/>
    <w:rsid w:val="00B47D85"/>
    <w:rsid w:val="00B5171F"/>
    <w:rsid w:val="00B517A4"/>
    <w:rsid w:val="00B52930"/>
    <w:rsid w:val="00B53860"/>
    <w:rsid w:val="00B54203"/>
    <w:rsid w:val="00B553E4"/>
    <w:rsid w:val="00B55505"/>
    <w:rsid w:val="00B55B5B"/>
    <w:rsid w:val="00B562A0"/>
    <w:rsid w:val="00B564CD"/>
    <w:rsid w:val="00B568EF"/>
    <w:rsid w:val="00B60A04"/>
    <w:rsid w:val="00B61B92"/>
    <w:rsid w:val="00B621DA"/>
    <w:rsid w:val="00B6306A"/>
    <w:rsid w:val="00B638DA"/>
    <w:rsid w:val="00B63B72"/>
    <w:rsid w:val="00B64027"/>
    <w:rsid w:val="00B66FE4"/>
    <w:rsid w:val="00B7019C"/>
    <w:rsid w:val="00B7028D"/>
    <w:rsid w:val="00B719BA"/>
    <w:rsid w:val="00B722B9"/>
    <w:rsid w:val="00B7263C"/>
    <w:rsid w:val="00B72F69"/>
    <w:rsid w:val="00B73BD2"/>
    <w:rsid w:val="00B74D4A"/>
    <w:rsid w:val="00B75C6A"/>
    <w:rsid w:val="00B75D54"/>
    <w:rsid w:val="00B761B9"/>
    <w:rsid w:val="00B81574"/>
    <w:rsid w:val="00B8236F"/>
    <w:rsid w:val="00B83742"/>
    <w:rsid w:val="00B83AFC"/>
    <w:rsid w:val="00B84555"/>
    <w:rsid w:val="00B8669A"/>
    <w:rsid w:val="00B8769D"/>
    <w:rsid w:val="00B91ACF"/>
    <w:rsid w:val="00B92026"/>
    <w:rsid w:val="00B962AF"/>
    <w:rsid w:val="00BA010B"/>
    <w:rsid w:val="00BA0A54"/>
    <w:rsid w:val="00BA198C"/>
    <w:rsid w:val="00BA2F10"/>
    <w:rsid w:val="00BA36B1"/>
    <w:rsid w:val="00BA3EAB"/>
    <w:rsid w:val="00BA435A"/>
    <w:rsid w:val="00BA5790"/>
    <w:rsid w:val="00BA6A73"/>
    <w:rsid w:val="00BA6D06"/>
    <w:rsid w:val="00BB09C0"/>
    <w:rsid w:val="00BB26B4"/>
    <w:rsid w:val="00BB4AA8"/>
    <w:rsid w:val="00BC1120"/>
    <w:rsid w:val="00BC2867"/>
    <w:rsid w:val="00BC3556"/>
    <w:rsid w:val="00BC5278"/>
    <w:rsid w:val="00BC52B0"/>
    <w:rsid w:val="00BC6546"/>
    <w:rsid w:val="00BD1C7F"/>
    <w:rsid w:val="00BD2C94"/>
    <w:rsid w:val="00BD332E"/>
    <w:rsid w:val="00BD4873"/>
    <w:rsid w:val="00BD4931"/>
    <w:rsid w:val="00BD4FCD"/>
    <w:rsid w:val="00BD7614"/>
    <w:rsid w:val="00BD79CC"/>
    <w:rsid w:val="00BE1C2E"/>
    <w:rsid w:val="00BE1E23"/>
    <w:rsid w:val="00BE1EE1"/>
    <w:rsid w:val="00BE335C"/>
    <w:rsid w:val="00BE3621"/>
    <w:rsid w:val="00BE4061"/>
    <w:rsid w:val="00BE46A2"/>
    <w:rsid w:val="00BE4818"/>
    <w:rsid w:val="00BE7B2D"/>
    <w:rsid w:val="00BF00AF"/>
    <w:rsid w:val="00BF143D"/>
    <w:rsid w:val="00BF1674"/>
    <w:rsid w:val="00BF39ED"/>
    <w:rsid w:val="00BF61B8"/>
    <w:rsid w:val="00C00437"/>
    <w:rsid w:val="00C01583"/>
    <w:rsid w:val="00C0375F"/>
    <w:rsid w:val="00C0456F"/>
    <w:rsid w:val="00C04E8A"/>
    <w:rsid w:val="00C109E2"/>
    <w:rsid w:val="00C137A5"/>
    <w:rsid w:val="00C14849"/>
    <w:rsid w:val="00C1574D"/>
    <w:rsid w:val="00C15EF3"/>
    <w:rsid w:val="00C166A3"/>
    <w:rsid w:val="00C16B44"/>
    <w:rsid w:val="00C16E5C"/>
    <w:rsid w:val="00C21626"/>
    <w:rsid w:val="00C2170B"/>
    <w:rsid w:val="00C232DD"/>
    <w:rsid w:val="00C255D5"/>
    <w:rsid w:val="00C25A57"/>
    <w:rsid w:val="00C2636A"/>
    <w:rsid w:val="00C27F5D"/>
    <w:rsid w:val="00C306E3"/>
    <w:rsid w:val="00C34383"/>
    <w:rsid w:val="00C34A46"/>
    <w:rsid w:val="00C35BCF"/>
    <w:rsid w:val="00C36902"/>
    <w:rsid w:val="00C37517"/>
    <w:rsid w:val="00C37CCC"/>
    <w:rsid w:val="00C412B6"/>
    <w:rsid w:val="00C4189A"/>
    <w:rsid w:val="00C41AFD"/>
    <w:rsid w:val="00C4417A"/>
    <w:rsid w:val="00C44580"/>
    <w:rsid w:val="00C44C24"/>
    <w:rsid w:val="00C454A2"/>
    <w:rsid w:val="00C46781"/>
    <w:rsid w:val="00C47BAF"/>
    <w:rsid w:val="00C47BE4"/>
    <w:rsid w:val="00C51056"/>
    <w:rsid w:val="00C52175"/>
    <w:rsid w:val="00C5322A"/>
    <w:rsid w:val="00C533AD"/>
    <w:rsid w:val="00C54279"/>
    <w:rsid w:val="00C56074"/>
    <w:rsid w:val="00C56818"/>
    <w:rsid w:val="00C60565"/>
    <w:rsid w:val="00C60804"/>
    <w:rsid w:val="00C60A31"/>
    <w:rsid w:val="00C60DD4"/>
    <w:rsid w:val="00C61FEA"/>
    <w:rsid w:val="00C6220E"/>
    <w:rsid w:val="00C64A2C"/>
    <w:rsid w:val="00C66FC7"/>
    <w:rsid w:val="00C73B2B"/>
    <w:rsid w:val="00C76C9D"/>
    <w:rsid w:val="00C8324D"/>
    <w:rsid w:val="00C85768"/>
    <w:rsid w:val="00C9014F"/>
    <w:rsid w:val="00C905E8"/>
    <w:rsid w:val="00C9096C"/>
    <w:rsid w:val="00C91CF7"/>
    <w:rsid w:val="00C9269F"/>
    <w:rsid w:val="00C940A5"/>
    <w:rsid w:val="00C94B01"/>
    <w:rsid w:val="00C950E7"/>
    <w:rsid w:val="00C96933"/>
    <w:rsid w:val="00C976FB"/>
    <w:rsid w:val="00CA0D36"/>
    <w:rsid w:val="00CA3564"/>
    <w:rsid w:val="00CA3987"/>
    <w:rsid w:val="00CA3E31"/>
    <w:rsid w:val="00CA3EF1"/>
    <w:rsid w:val="00CA537F"/>
    <w:rsid w:val="00CA53DF"/>
    <w:rsid w:val="00CA5A18"/>
    <w:rsid w:val="00CA643B"/>
    <w:rsid w:val="00CA6BCD"/>
    <w:rsid w:val="00CA703C"/>
    <w:rsid w:val="00CA74A4"/>
    <w:rsid w:val="00CB0302"/>
    <w:rsid w:val="00CB1C2B"/>
    <w:rsid w:val="00CB2836"/>
    <w:rsid w:val="00CB30A4"/>
    <w:rsid w:val="00CB4E0A"/>
    <w:rsid w:val="00CB7825"/>
    <w:rsid w:val="00CC21A0"/>
    <w:rsid w:val="00CC3FC0"/>
    <w:rsid w:val="00CC445B"/>
    <w:rsid w:val="00CC52A8"/>
    <w:rsid w:val="00CC67FB"/>
    <w:rsid w:val="00CC691E"/>
    <w:rsid w:val="00CC73F0"/>
    <w:rsid w:val="00CC7C35"/>
    <w:rsid w:val="00CD077F"/>
    <w:rsid w:val="00CD1310"/>
    <w:rsid w:val="00CD23F9"/>
    <w:rsid w:val="00CD254E"/>
    <w:rsid w:val="00CD4665"/>
    <w:rsid w:val="00CD4C8A"/>
    <w:rsid w:val="00CD6F62"/>
    <w:rsid w:val="00CE09F5"/>
    <w:rsid w:val="00CE2DB7"/>
    <w:rsid w:val="00CE3471"/>
    <w:rsid w:val="00CE58F2"/>
    <w:rsid w:val="00CE5992"/>
    <w:rsid w:val="00CE5EA1"/>
    <w:rsid w:val="00CE630A"/>
    <w:rsid w:val="00CE6908"/>
    <w:rsid w:val="00CE7ED6"/>
    <w:rsid w:val="00CF0F64"/>
    <w:rsid w:val="00CF1628"/>
    <w:rsid w:val="00CF252F"/>
    <w:rsid w:val="00CF3217"/>
    <w:rsid w:val="00CF3B1E"/>
    <w:rsid w:val="00CF5D5C"/>
    <w:rsid w:val="00CF5EC5"/>
    <w:rsid w:val="00D02C82"/>
    <w:rsid w:val="00D034E1"/>
    <w:rsid w:val="00D034FB"/>
    <w:rsid w:val="00D04105"/>
    <w:rsid w:val="00D052D5"/>
    <w:rsid w:val="00D05CA6"/>
    <w:rsid w:val="00D07406"/>
    <w:rsid w:val="00D074C3"/>
    <w:rsid w:val="00D07B44"/>
    <w:rsid w:val="00D1090E"/>
    <w:rsid w:val="00D129C8"/>
    <w:rsid w:val="00D12E39"/>
    <w:rsid w:val="00D14B7A"/>
    <w:rsid w:val="00D16914"/>
    <w:rsid w:val="00D17B2B"/>
    <w:rsid w:val="00D2011F"/>
    <w:rsid w:val="00D20B25"/>
    <w:rsid w:val="00D212CB"/>
    <w:rsid w:val="00D21F55"/>
    <w:rsid w:val="00D227FC"/>
    <w:rsid w:val="00D24D89"/>
    <w:rsid w:val="00D26C0F"/>
    <w:rsid w:val="00D27148"/>
    <w:rsid w:val="00D27FDC"/>
    <w:rsid w:val="00D30519"/>
    <w:rsid w:val="00D327C7"/>
    <w:rsid w:val="00D3329D"/>
    <w:rsid w:val="00D33636"/>
    <w:rsid w:val="00D33B5B"/>
    <w:rsid w:val="00D34F15"/>
    <w:rsid w:val="00D3504D"/>
    <w:rsid w:val="00D36429"/>
    <w:rsid w:val="00D36A6B"/>
    <w:rsid w:val="00D4043A"/>
    <w:rsid w:val="00D41BFE"/>
    <w:rsid w:val="00D425BB"/>
    <w:rsid w:val="00D43950"/>
    <w:rsid w:val="00D43DAB"/>
    <w:rsid w:val="00D44170"/>
    <w:rsid w:val="00D44266"/>
    <w:rsid w:val="00D454C8"/>
    <w:rsid w:val="00D4676A"/>
    <w:rsid w:val="00D50B6B"/>
    <w:rsid w:val="00D51EBB"/>
    <w:rsid w:val="00D5737F"/>
    <w:rsid w:val="00D60989"/>
    <w:rsid w:val="00D613EE"/>
    <w:rsid w:val="00D61A5B"/>
    <w:rsid w:val="00D62480"/>
    <w:rsid w:val="00D62F06"/>
    <w:rsid w:val="00D62F95"/>
    <w:rsid w:val="00D630EC"/>
    <w:rsid w:val="00D6466C"/>
    <w:rsid w:val="00D64996"/>
    <w:rsid w:val="00D64BF4"/>
    <w:rsid w:val="00D667FA"/>
    <w:rsid w:val="00D70788"/>
    <w:rsid w:val="00D723E2"/>
    <w:rsid w:val="00D75B53"/>
    <w:rsid w:val="00D7632E"/>
    <w:rsid w:val="00D76AF6"/>
    <w:rsid w:val="00D76E1F"/>
    <w:rsid w:val="00D77463"/>
    <w:rsid w:val="00D7783B"/>
    <w:rsid w:val="00D8023B"/>
    <w:rsid w:val="00D803BC"/>
    <w:rsid w:val="00D80AD3"/>
    <w:rsid w:val="00D8330F"/>
    <w:rsid w:val="00D83899"/>
    <w:rsid w:val="00D84508"/>
    <w:rsid w:val="00D8451F"/>
    <w:rsid w:val="00D84B68"/>
    <w:rsid w:val="00D856C9"/>
    <w:rsid w:val="00D8683C"/>
    <w:rsid w:val="00D86981"/>
    <w:rsid w:val="00D87927"/>
    <w:rsid w:val="00D90B47"/>
    <w:rsid w:val="00D9189D"/>
    <w:rsid w:val="00D94C07"/>
    <w:rsid w:val="00D94C58"/>
    <w:rsid w:val="00D9678D"/>
    <w:rsid w:val="00DA030D"/>
    <w:rsid w:val="00DA0C1D"/>
    <w:rsid w:val="00DA0DFA"/>
    <w:rsid w:val="00DA1A6A"/>
    <w:rsid w:val="00DA272B"/>
    <w:rsid w:val="00DA3998"/>
    <w:rsid w:val="00DA661D"/>
    <w:rsid w:val="00DA7139"/>
    <w:rsid w:val="00DA7940"/>
    <w:rsid w:val="00DB07FB"/>
    <w:rsid w:val="00DB0903"/>
    <w:rsid w:val="00DB1697"/>
    <w:rsid w:val="00DB1B53"/>
    <w:rsid w:val="00DB2204"/>
    <w:rsid w:val="00DB5196"/>
    <w:rsid w:val="00DB652F"/>
    <w:rsid w:val="00DB670F"/>
    <w:rsid w:val="00DB7BBB"/>
    <w:rsid w:val="00DC3432"/>
    <w:rsid w:val="00DC4175"/>
    <w:rsid w:val="00DC489E"/>
    <w:rsid w:val="00DD1190"/>
    <w:rsid w:val="00DD1CB8"/>
    <w:rsid w:val="00DD2737"/>
    <w:rsid w:val="00DD34AF"/>
    <w:rsid w:val="00DD4B22"/>
    <w:rsid w:val="00DD5566"/>
    <w:rsid w:val="00DD66C8"/>
    <w:rsid w:val="00DD7E5A"/>
    <w:rsid w:val="00DE023C"/>
    <w:rsid w:val="00DE0F43"/>
    <w:rsid w:val="00DE1C94"/>
    <w:rsid w:val="00DE2CC8"/>
    <w:rsid w:val="00DE34C9"/>
    <w:rsid w:val="00DE4433"/>
    <w:rsid w:val="00DE450A"/>
    <w:rsid w:val="00DE47D2"/>
    <w:rsid w:val="00DE4C52"/>
    <w:rsid w:val="00DE4D71"/>
    <w:rsid w:val="00DE628C"/>
    <w:rsid w:val="00DE75F5"/>
    <w:rsid w:val="00DF0862"/>
    <w:rsid w:val="00DF317F"/>
    <w:rsid w:val="00DF3872"/>
    <w:rsid w:val="00DF439D"/>
    <w:rsid w:val="00DF43CE"/>
    <w:rsid w:val="00DF543E"/>
    <w:rsid w:val="00DF76D7"/>
    <w:rsid w:val="00DF7CEF"/>
    <w:rsid w:val="00E00740"/>
    <w:rsid w:val="00E01285"/>
    <w:rsid w:val="00E01E17"/>
    <w:rsid w:val="00E04521"/>
    <w:rsid w:val="00E0471C"/>
    <w:rsid w:val="00E04D60"/>
    <w:rsid w:val="00E05505"/>
    <w:rsid w:val="00E06F1C"/>
    <w:rsid w:val="00E079C3"/>
    <w:rsid w:val="00E113AA"/>
    <w:rsid w:val="00E16747"/>
    <w:rsid w:val="00E20B2A"/>
    <w:rsid w:val="00E20FDE"/>
    <w:rsid w:val="00E21BE8"/>
    <w:rsid w:val="00E21D3B"/>
    <w:rsid w:val="00E22035"/>
    <w:rsid w:val="00E2347A"/>
    <w:rsid w:val="00E2380A"/>
    <w:rsid w:val="00E25EAA"/>
    <w:rsid w:val="00E31E31"/>
    <w:rsid w:val="00E323F6"/>
    <w:rsid w:val="00E327A6"/>
    <w:rsid w:val="00E35622"/>
    <w:rsid w:val="00E405C0"/>
    <w:rsid w:val="00E42051"/>
    <w:rsid w:val="00E501FC"/>
    <w:rsid w:val="00E504AA"/>
    <w:rsid w:val="00E50A32"/>
    <w:rsid w:val="00E50A73"/>
    <w:rsid w:val="00E54C63"/>
    <w:rsid w:val="00E56874"/>
    <w:rsid w:val="00E5719B"/>
    <w:rsid w:val="00E57D27"/>
    <w:rsid w:val="00E62182"/>
    <w:rsid w:val="00E62316"/>
    <w:rsid w:val="00E66994"/>
    <w:rsid w:val="00E669AB"/>
    <w:rsid w:val="00E67E83"/>
    <w:rsid w:val="00E7000E"/>
    <w:rsid w:val="00E70D91"/>
    <w:rsid w:val="00E74469"/>
    <w:rsid w:val="00E7504C"/>
    <w:rsid w:val="00E751A5"/>
    <w:rsid w:val="00E754E9"/>
    <w:rsid w:val="00E75614"/>
    <w:rsid w:val="00E75BFB"/>
    <w:rsid w:val="00E76B8D"/>
    <w:rsid w:val="00E76E98"/>
    <w:rsid w:val="00E7722A"/>
    <w:rsid w:val="00E77958"/>
    <w:rsid w:val="00E77FAD"/>
    <w:rsid w:val="00E807D4"/>
    <w:rsid w:val="00E80C2D"/>
    <w:rsid w:val="00E83F5F"/>
    <w:rsid w:val="00E84A63"/>
    <w:rsid w:val="00E86C4B"/>
    <w:rsid w:val="00E870B4"/>
    <w:rsid w:val="00E8798A"/>
    <w:rsid w:val="00E87E04"/>
    <w:rsid w:val="00E90177"/>
    <w:rsid w:val="00E9207E"/>
    <w:rsid w:val="00E941E4"/>
    <w:rsid w:val="00E95316"/>
    <w:rsid w:val="00E953FB"/>
    <w:rsid w:val="00E95D41"/>
    <w:rsid w:val="00E97973"/>
    <w:rsid w:val="00E97B89"/>
    <w:rsid w:val="00E97D40"/>
    <w:rsid w:val="00E97D7E"/>
    <w:rsid w:val="00EA0064"/>
    <w:rsid w:val="00EA0B9E"/>
    <w:rsid w:val="00EA54DF"/>
    <w:rsid w:val="00EA581B"/>
    <w:rsid w:val="00EA60CD"/>
    <w:rsid w:val="00EA723D"/>
    <w:rsid w:val="00EA7526"/>
    <w:rsid w:val="00EB1410"/>
    <w:rsid w:val="00EB2A7B"/>
    <w:rsid w:val="00EB2B02"/>
    <w:rsid w:val="00EB2B23"/>
    <w:rsid w:val="00EB3742"/>
    <w:rsid w:val="00EB5243"/>
    <w:rsid w:val="00EB568E"/>
    <w:rsid w:val="00EB6784"/>
    <w:rsid w:val="00EB72B5"/>
    <w:rsid w:val="00EC08DA"/>
    <w:rsid w:val="00EC1109"/>
    <w:rsid w:val="00EC12D3"/>
    <w:rsid w:val="00EC182D"/>
    <w:rsid w:val="00EC239C"/>
    <w:rsid w:val="00EC257F"/>
    <w:rsid w:val="00EC3C07"/>
    <w:rsid w:val="00ED0028"/>
    <w:rsid w:val="00ED037A"/>
    <w:rsid w:val="00ED0B99"/>
    <w:rsid w:val="00ED3CC7"/>
    <w:rsid w:val="00ED4489"/>
    <w:rsid w:val="00ED58B8"/>
    <w:rsid w:val="00EE0179"/>
    <w:rsid w:val="00EE645C"/>
    <w:rsid w:val="00EE6582"/>
    <w:rsid w:val="00EE6BB2"/>
    <w:rsid w:val="00EE6E12"/>
    <w:rsid w:val="00EE79B7"/>
    <w:rsid w:val="00EF0E61"/>
    <w:rsid w:val="00EF1F0B"/>
    <w:rsid w:val="00EF4E62"/>
    <w:rsid w:val="00EF600E"/>
    <w:rsid w:val="00F0101C"/>
    <w:rsid w:val="00F013C2"/>
    <w:rsid w:val="00F01477"/>
    <w:rsid w:val="00F01621"/>
    <w:rsid w:val="00F01A58"/>
    <w:rsid w:val="00F02961"/>
    <w:rsid w:val="00F0371C"/>
    <w:rsid w:val="00F04430"/>
    <w:rsid w:val="00F05570"/>
    <w:rsid w:val="00F05768"/>
    <w:rsid w:val="00F060F2"/>
    <w:rsid w:val="00F065E8"/>
    <w:rsid w:val="00F11D65"/>
    <w:rsid w:val="00F13A51"/>
    <w:rsid w:val="00F152D9"/>
    <w:rsid w:val="00F15397"/>
    <w:rsid w:val="00F1550D"/>
    <w:rsid w:val="00F16178"/>
    <w:rsid w:val="00F17F1B"/>
    <w:rsid w:val="00F2006D"/>
    <w:rsid w:val="00F21886"/>
    <w:rsid w:val="00F22796"/>
    <w:rsid w:val="00F22D44"/>
    <w:rsid w:val="00F24381"/>
    <w:rsid w:val="00F2485E"/>
    <w:rsid w:val="00F25BDD"/>
    <w:rsid w:val="00F26853"/>
    <w:rsid w:val="00F2749B"/>
    <w:rsid w:val="00F30529"/>
    <w:rsid w:val="00F319FE"/>
    <w:rsid w:val="00F325C3"/>
    <w:rsid w:val="00F37E13"/>
    <w:rsid w:val="00F40525"/>
    <w:rsid w:val="00F412C2"/>
    <w:rsid w:val="00F4217A"/>
    <w:rsid w:val="00F421ED"/>
    <w:rsid w:val="00F4277A"/>
    <w:rsid w:val="00F449A7"/>
    <w:rsid w:val="00F45D87"/>
    <w:rsid w:val="00F46481"/>
    <w:rsid w:val="00F46BC3"/>
    <w:rsid w:val="00F46E12"/>
    <w:rsid w:val="00F47335"/>
    <w:rsid w:val="00F47C14"/>
    <w:rsid w:val="00F522F2"/>
    <w:rsid w:val="00F53655"/>
    <w:rsid w:val="00F55176"/>
    <w:rsid w:val="00F554FF"/>
    <w:rsid w:val="00F55622"/>
    <w:rsid w:val="00F60C41"/>
    <w:rsid w:val="00F63225"/>
    <w:rsid w:val="00F6347F"/>
    <w:rsid w:val="00F63899"/>
    <w:rsid w:val="00F64CDA"/>
    <w:rsid w:val="00F64F6D"/>
    <w:rsid w:val="00F65FF8"/>
    <w:rsid w:val="00F66009"/>
    <w:rsid w:val="00F67A97"/>
    <w:rsid w:val="00F70088"/>
    <w:rsid w:val="00F74566"/>
    <w:rsid w:val="00F749F7"/>
    <w:rsid w:val="00F75BCB"/>
    <w:rsid w:val="00F766C9"/>
    <w:rsid w:val="00F76CBB"/>
    <w:rsid w:val="00F8163A"/>
    <w:rsid w:val="00F8348E"/>
    <w:rsid w:val="00F83E18"/>
    <w:rsid w:val="00F83FB8"/>
    <w:rsid w:val="00F84443"/>
    <w:rsid w:val="00F85750"/>
    <w:rsid w:val="00F87390"/>
    <w:rsid w:val="00F91268"/>
    <w:rsid w:val="00F915D0"/>
    <w:rsid w:val="00F9282A"/>
    <w:rsid w:val="00F92CD9"/>
    <w:rsid w:val="00F931E4"/>
    <w:rsid w:val="00F9677D"/>
    <w:rsid w:val="00F97959"/>
    <w:rsid w:val="00FA01A5"/>
    <w:rsid w:val="00FA1215"/>
    <w:rsid w:val="00FA16A6"/>
    <w:rsid w:val="00FA2009"/>
    <w:rsid w:val="00FA4E93"/>
    <w:rsid w:val="00FA4F8A"/>
    <w:rsid w:val="00FA52BB"/>
    <w:rsid w:val="00FA560A"/>
    <w:rsid w:val="00FA74F5"/>
    <w:rsid w:val="00FA7D03"/>
    <w:rsid w:val="00FB2BAE"/>
    <w:rsid w:val="00FB3A74"/>
    <w:rsid w:val="00FB3AC6"/>
    <w:rsid w:val="00FB3D4D"/>
    <w:rsid w:val="00FB4CC7"/>
    <w:rsid w:val="00FB4F6F"/>
    <w:rsid w:val="00FB5264"/>
    <w:rsid w:val="00FB78A2"/>
    <w:rsid w:val="00FB7B21"/>
    <w:rsid w:val="00FC003D"/>
    <w:rsid w:val="00FC1051"/>
    <w:rsid w:val="00FC58AD"/>
    <w:rsid w:val="00FD0715"/>
    <w:rsid w:val="00FD3F43"/>
    <w:rsid w:val="00FD6AE0"/>
    <w:rsid w:val="00FD714F"/>
    <w:rsid w:val="00FE23D0"/>
    <w:rsid w:val="00FE2802"/>
    <w:rsid w:val="00FE3079"/>
    <w:rsid w:val="00FE4305"/>
    <w:rsid w:val="00FF2C06"/>
    <w:rsid w:val="00FF2EEC"/>
    <w:rsid w:val="00FF2F5C"/>
    <w:rsid w:val="00FF3315"/>
    <w:rsid w:val="00FF5A4E"/>
    <w:rsid w:val="00FF7E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9" fillcolor="silver" strokecolor="#969696">
      <v:fill color="silver"/>
      <v:stroke color="#969696"/>
      <o:colormenu v:ext="edit" fillcolor="none [273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annotation text" w:uiPriority="99"/>
    <w:lsdException w:name="caption" w:uiPriority="35" w:qFormat="1"/>
    <w:lsdException w:name="annotation reference" w:uiPriority="99"/>
    <w:lsdException w:name="endnote text" w:uiPriority="99"/>
    <w:lsdException w:name="Title" w:qFormat="1"/>
    <w:lsdException w:name="Subtitle" w:qFormat="1"/>
    <w:lsdException w:name="Strong" w:uiPriority="22" w:qFormat="1"/>
    <w:lsdException w:name="Emphasis" w:uiPriority="20" w:qFormat="1"/>
    <w:lsdException w:name="Plain Text" w:uiPriority="99"/>
    <w:lsdException w:name="Normal (Web)" w:uiPriority="99"/>
    <w:lsdException w:name="annotation subject"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1C316F"/>
    <w:pPr>
      <w:spacing w:before="120" w:after="120" w:line="240" w:lineRule="atLeast"/>
      <w:jc w:val="both"/>
    </w:pPr>
    <w:rPr>
      <w:rFonts w:ascii="Arial" w:hAnsi="Arial"/>
    </w:rPr>
  </w:style>
  <w:style w:type="paragraph" w:styleId="Heading1">
    <w:name w:val="heading 1"/>
    <w:next w:val="Heading2"/>
    <w:link w:val="Heading1Char"/>
    <w:qFormat/>
    <w:rsid w:val="0079768E"/>
    <w:pPr>
      <w:keepNext/>
      <w:tabs>
        <w:tab w:val="left" w:pos="709"/>
      </w:tabs>
      <w:spacing w:before="240" w:after="240" w:line="400" w:lineRule="atLeast"/>
      <w:jc w:val="both"/>
      <w:outlineLvl w:val="0"/>
    </w:pPr>
    <w:rPr>
      <w:rFonts w:ascii="Arial" w:hAnsi="Arial"/>
      <w:b/>
      <w:color w:val="333399"/>
      <w:sz w:val="36"/>
    </w:rPr>
  </w:style>
  <w:style w:type="paragraph" w:styleId="Heading2">
    <w:name w:val="heading 2"/>
    <w:basedOn w:val="Normal"/>
    <w:next w:val="Normal"/>
    <w:link w:val="Heading2Char"/>
    <w:qFormat/>
    <w:rsid w:val="0091101D"/>
    <w:pPr>
      <w:keepNext/>
      <w:keepLines/>
      <w:jc w:val="left"/>
      <w:outlineLvl w:val="1"/>
    </w:pPr>
    <w:rPr>
      <w:b/>
      <w:color w:val="333399"/>
      <w:sz w:val="28"/>
    </w:rPr>
  </w:style>
  <w:style w:type="paragraph" w:styleId="Heading3">
    <w:name w:val="heading 3"/>
    <w:next w:val="Normal"/>
    <w:link w:val="Heading3Char"/>
    <w:qFormat/>
    <w:rsid w:val="001F7037"/>
    <w:pPr>
      <w:keepNext/>
      <w:spacing w:before="120" w:after="120"/>
      <w:jc w:val="both"/>
      <w:outlineLvl w:val="2"/>
    </w:pPr>
    <w:rPr>
      <w:rFonts w:ascii="Arial" w:hAnsi="Arial"/>
      <w:b/>
      <w:color w:val="31849B"/>
      <w:sz w:val="22"/>
    </w:rPr>
  </w:style>
  <w:style w:type="paragraph" w:styleId="Heading4">
    <w:name w:val="heading 4"/>
    <w:basedOn w:val="Normal"/>
    <w:next w:val="Normal"/>
    <w:link w:val="Heading4Char"/>
    <w:qFormat/>
    <w:rsid w:val="00395C3F"/>
    <w:pPr>
      <w:keepNext/>
      <w:spacing w:after="0"/>
      <w:jc w:val="left"/>
      <w:outlineLvl w:val="3"/>
    </w:pPr>
    <w:rPr>
      <w:b/>
      <w:sz w:val="22"/>
    </w:rPr>
  </w:style>
  <w:style w:type="paragraph" w:styleId="Heading5">
    <w:name w:val="heading 5"/>
    <w:basedOn w:val="Normal"/>
    <w:next w:val="Normal"/>
    <w:link w:val="Heading5Char"/>
    <w:qFormat/>
    <w:rsid w:val="0079768E"/>
    <w:pPr>
      <w:spacing w:after="0"/>
      <w:outlineLvl w:val="4"/>
    </w:pPr>
    <w:rPr>
      <w:i/>
      <w:sz w:val="22"/>
    </w:rPr>
  </w:style>
  <w:style w:type="paragraph" w:styleId="Heading6">
    <w:name w:val="heading 6"/>
    <w:basedOn w:val="Normal"/>
    <w:next w:val="Normal"/>
    <w:link w:val="Heading6Char"/>
    <w:qFormat/>
    <w:rsid w:val="00F449A7"/>
    <w:pPr>
      <w:spacing w:before="240" w:after="60" w:line="240" w:lineRule="auto"/>
      <w:jc w:val="left"/>
      <w:outlineLvl w:val="5"/>
    </w:pPr>
    <w:rPr>
      <w:rFonts w:ascii="Times New Roman" w:eastAsia="Calibri" w:hAnsi="Times New Roman"/>
      <w:b/>
      <w:bCs/>
      <w:sz w:val="22"/>
      <w:szCs w:val="22"/>
      <w:lang w:eastAsia="en-US"/>
    </w:rPr>
  </w:style>
  <w:style w:type="paragraph" w:styleId="Heading7">
    <w:name w:val="heading 7"/>
    <w:basedOn w:val="Normal"/>
    <w:next w:val="Normal"/>
    <w:link w:val="Heading7Char"/>
    <w:qFormat/>
    <w:rsid w:val="00F449A7"/>
    <w:pPr>
      <w:spacing w:before="240" w:after="60" w:line="240" w:lineRule="auto"/>
      <w:jc w:val="left"/>
      <w:outlineLvl w:val="6"/>
    </w:pPr>
    <w:rPr>
      <w:rFonts w:ascii="Times New Roman" w:eastAsia="Calibri" w:hAnsi="Times New Roman"/>
      <w:sz w:val="24"/>
      <w:szCs w:val="24"/>
      <w:lang w:eastAsia="en-US"/>
    </w:rPr>
  </w:style>
  <w:style w:type="paragraph" w:styleId="Heading8">
    <w:name w:val="heading 8"/>
    <w:basedOn w:val="Normal"/>
    <w:next w:val="Normal"/>
    <w:link w:val="Heading8Char"/>
    <w:qFormat/>
    <w:rsid w:val="00F449A7"/>
    <w:pPr>
      <w:spacing w:before="240" w:after="60" w:line="240" w:lineRule="auto"/>
      <w:jc w:val="left"/>
      <w:outlineLvl w:val="7"/>
    </w:pPr>
    <w:rPr>
      <w:rFonts w:ascii="Times New Roman" w:eastAsia="Calibri" w:hAnsi="Times New Roman"/>
      <w:i/>
      <w:iCs/>
      <w:sz w:val="24"/>
      <w:szCs w:val="24"/>
      <w:lang w:eastAsia="en-US"/>
    </w:rPr>
  </w:style>
  <w:style w:type="paragraph" w:styleId="Heading9">
    <w:name w:val="heading 9"/>
    <w:basedOn w:val="Normal"/>
    <w:next w:val="Normal"/>
    <w:link w:val="Heading9Char"/>
    <w:qFormat/>
    <w:rsid w:val="00F449A7"/>
    <w:pPr>
      <w:spacing w:before="240" w:after="60" w:line="240" w:lineRule="auto"/>
      <w:jc w:val="left"/>
      <w:outlineLvl w:val="8"/>
    </w:pPr>
    <w:rPr>
      <w:rFonts w:eastAsia="Calibri" w:cs="Arial"/>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rsid w:val="001F7037"/>
    <w:rPr>
      <w:rFonts w:ascii="Arial" w:hAnsi="Arial"/>
      <w:b/>
      <w:color w:val="31849B"/>
      <w:sz w:val="22"/>
      <w:lang w:val="en-AU" w:eastAsia="en-AU" w:bidi="ar-SA"/>
    </w:rPr>
  </w:style>
  <w:style w:type="paragraph" w:customStyle="1" w:styleId="CharCharCharChar">
    <w:name w:val="Char Char Char Char"/>
    <w:basedOn w:val="Normal"/>
    <w:rsid w:val="00727205"/>
    <w:pPr>
      <w:spacing w:before="0" w:after="160" w:line="240" w:lineRule="exact"/>
      <w:jc w:val="left"/>
    </w:pPr>
    <w:rPr>
      <w:rFonts w:ascii="Verdana" w:hAnsi="Verdana"/>
      <w:szCs w:val="24"/>
      <w:lang w:val="en-US" w:eastAsia="en-US"/>
    </w:rPr>
  </w:style>
  <w:style w:type="paragraph" w:styleId="ListBullet">
    <w:name w:val="List Bullet"/>
    <w:basedOn w:val="Normal"/>
    <w:rsid w:val="0079768E"/>
    <w:pPr>
      <w:numPr>
        <w:numId w:val="1"/>
      </w:numPr>
      <w:spacing w:after="0"/>
      <w:contextualSpacing/>
    </w:pPr>
  </w:style>
  <w:style w:type="paragraph" w:customStyle="1" w:styleId="Footnote">
    <w:name w:val="Footnote"/>
    <w:basedOn w:val="Normal"/>
    <w:semiHidden/>
    <w:rsid w:val="00A63306"/>
    <w:pPr>
      <w:widowControl w:val="0"/>
      <w:suppressAutoHyphens/>
      <w:autoSpaceDE w:val="0"/>
      <w:autoSpaceDN w:val="0"/>
      <w:adjustRightInd w:val="0"/>
      <w:spacing w:before="170" w:line="200" w:lineRule="atLeast"/>
      <w:ind w:left="170" w:hanging="170"/>
      <w:textAlignment w:val="center"/>
    </w:pPr>
    <w:rPr>
      <w:rFonts w:cs="Arial"/>
      <w:color w:val="000000"/>
      <w:sz w:val="16"/>
      <w:szCs w:val="16"/>
    </w:rPr>
  </w:style>
  <w:style w:type="character" w:customStyle="1" w:styleId="Footnote1">
    <w:name w:val="Footnote1"/>
    <w:semiHidden/>
    <w:rsid w:val="00A63306"/>
    <w:rPr>
      <w:rFonts w:ascii="Arial" w:hAnsi="Arial" w:cs="Arial"/>
      <w:spacing w:val="0"/>
      <w:w w:val="100"/>
      <w:sz w:val="16"/>
      <w:szCs w:val="16"/>
      <w:vertAlign w:val="baseline"/>
    </w:rPr>
  </w:style>
  <w:style w:type="paragraph" w:customStyle="1" w:styleId="ContentsHeading">
    <w:name w:val="Contents Heading"/>
    <w:basedOn w:val="Normal"/>
    <w:rsid w:val="00AA6E3F"/>
    <w:pPr>
      <w:keepNext/>
      <w:keepLines/>
      <w:suppressAutoHyphens/>
      <w:autoSpaceDE w:val="0"/>
      <w:autoSpaceDN w:val="0"/>
      <w:adjustRightInd w:val="0"/>
      <w:spacing w:before="227" w:after="170" w:line="288" w:lineRule="auto"/>
      <w:textAlignment w:val="center"/>
    </w:pPr>
    <w:rPr>
      <w:rFonts w:ascii="Verdana" w:hAnsi="Verdana" w:cs="Verdana"/>
      <w:b/>
      <w:bCs/>
      <w:color w:val="003D7D"/>
    </w:rPr>
  </w:style>
  <w:style w:type="paragraph" w:customStyle="1" w:styleId="ContentsList">
    <w:name w:val="Contents List"/>
    <w:basedOn w:val="Normal"/>
    <w:rsid w:val="00395C3F"/>
    <w:pPr>
      <w:tabs>
        <w:tab w:val="right" w:pos="4253"/>
      </w:tabs>
      <w:suppressAutoHyphens/>
      <w:autoSpaceDE w:val="0"/>
      <w:autoSpaceDN w:val="0"/>
      <w:adjustRightInd w:val="0"/>
      <w:spacing w:before="57" w:line="280" w:lineRule="atLeast"/>
      <w:jc w:val="left"/>
      <w:textAlignment w:val="center"/>
    </w:pPr>
    <w:rPr>
      <w:rFonts w:ascii="Verdana" w:hAnsi="Verdana" w:cs="Verdana"/>
      <w:b/>
      <w:bCs/>
      <w:color w:val="455460"/>
    </w:rPr>
  </w:style>
  <w:style w:type="character" w:styleId="Hyperlink">
    <w:name w:val="Hyperlink"/>
    <w:basedOn w:val="DefaultParagraphFont"/>
    <w:rsid w:val="0079768E"/>
    <w:rPr>
      <w:noProof/>
      <w:color w:val="0000FF"/>
      <w:u w:val="single"/>
    </w:rPr>
  </w:style>
  <w:style w:type="paragraph" w:styleId="FootnoteText">
    <w:name w:val="footnote text"/>
    <w:aliases w:val="ALTS FOOTNOTE,(NECG) Footnote Text,Footnote text,AR Footnote Text,AR Footnote Text Char Char Char Char Char,fn,Footnote Text 2,FOOTNOTE,Footnote Text Char2 Char,Footnote Text Char1 Char2 Char,fn Char Char,f,Footnote Text Char2"/>
    <w:basedOn w:val="Normal"/>
    <w:link w:val="FootnoteTextChar1"/>
    <w:rsid w:val="009A44DA"/>
  </w:style>
  <w:style w:type="character" w:customStyle="1" w:styleId="FootnoteTextChar1">
    <w:name w:val="Footnote Text Char1"/>
    <w:aliases w:val="ALTS FOOTNOTE Char,(NECG) Footnote Text Char,Footnote text Char,AR Footnote Text Char,AR Footnote Text Char Char Char Char Char Char,fn Char,Footnote Text 2 Char,FOOTNOTE Char,Footnote Text Char2 Char Char,fn Char Char Char,f Char"/>
    <w:basedOn w:val="DefaultParagraphFont"/>
    <w:link w:val="FootnoteText"/>
    <w:rsid w:val="009A44DA"/>
    <w:rPr>
      <w:lang w:val="en-AU" w:eastAsia="en-AU" w:bidi="ar-SA"/>
    </w:rPr>
  </w:style>
  <w:style w:type="paragraph" w:customStyle="1" w:styleId="Default">
    <w:name w:val="Default"/>
    <w:rsid w:val="009A44DA"/>
    <w:pPr>
      <w:autoSpaceDE w:val="0"/>
      <w:autoSpaceDN w:val="0"/>
      <w:adjustRightInd w:val="0"/>
      <w:spacing w:before="240" w:after="120"/>
      <w:jc w:val="both"/>
    </w:pPr>
    <w:rPr>
      <w:color w:val="000000"/>
      <w:sz w:val="24"/>
      <w:szCs w:val="24"/>
    </w:rPr>
  </w:style>
  <w:style w:type="character" w:styleId="CommentReference">
    <w:name w:val="annotation reference"/>
    <w:basedOn w:val="DefaultParagraphFont"/>
    <w:uiPriority w:val="99"/>
    <w:semiHidden/>
    <w:rsid w:val="009A44DA"/>
    <w:rPr>
      <w:sz w:val="16"/>
      <w:szCs w:val="16"/>
    </w:rPr>
  </w:style>
  <w:style w:type="paragraph" w:styleId="BalloonText">
    <w:name w:val="Balloon Text"/>
    <w:basedOn w:val="Normal"/>
    <w:link w:val="BalloonTextChar"/>
    <w:uiPriority w:val="99"/>
    <w:semiHidden/>
    <w:rsid w:val="0079768E"/>
    <w:rPr>
      <w:rFonts w:ascii="Tahoma" w:hAnsi="Tahoma" w:cs="Tahoma"/>
      <w:sz w:val="16"/>
      <w:szCs w:val="16"/>
    </w:rPr>
  </w:style>
  <w:style w:type="paragraph" w:styleId="ListBullet2">
    <w:name w:val="List Bullet 2"/>
    <w:basedOn w:val="Normal"/>
    <w:rsid w:val="0079768E"/>
    <w:pPr>
      <w:numPr>
        <w:numId w:val="2"/>
      </w:numPr>
      <w:spacing w:after="0"/>
      <w:contextualSpacing/>
    </w:pPr>
  </w:style>
  <w:style w:type="paragraph" w:styleId="ListBullet3">
    <w:name w:val="List Bullet 3"/>
    <w:basedOn w:val="Normal"/>
    <w:rsid w:val="0079768E"/>
    <w:pPr>
      <w:numPr>
        <w:numId w:val="3"/>
      </w:numPr>
      <w:spacing w:after="0"/>
      <w:contextualSpacing/>
    </w:pPr>
  </w:style>
  <w:style w:type="paragraph" w:styleId="TOC1">
    <w:name w:val="toc 1"/>
    <w:basedOn w:val="Normal"/>
    <w:next w:val="Normal"/>
    <w:uiPriority w:val="39"/>
    <w:rsid w:val="0079768E"/>
    <w:pPr>
      <w:tabs>
        <w:tab w:val="right" w:leader="dot" w:pos="8453"/>
      </w:tabs>
      <w:spacing w:before="240" w:after="0"/>
      <w:ind w:left="357" w:hanging="357"/>
    </w:pPr>
    <w:rPr>
      <w:b/>
    </w:rPr>
  </w:style>
  <w:style w:type="paragraph" w:styleId="TOC2">
    <w:name w:val="toc 2"/>
    <w:basedOn w:val="Normal"/>
    <w:next w:val="Normal"/>
    <w:uiPriority w:val="39"/>
    <w:rsid w:val="0079768E"/>
    <w:pPr>
      <w:tabs>
        <w:tab w:val="left" w:pos="851"/>
        <w:tab w:val="right" w:leader="dot" w:pos="8453"/>
      </w:tabs>
      <w:spacing w:after="0"/>
      <w:ind w:left="284"/>
    </w:pPr>
  </w:style>
  <w:style w:type="paragraph" w:styleId="TOC3">
    <w:name w:val="toc 3"/>
    <w:basedOn w:val="Normal"/>
    <w:next w:val="Normal"/>
    <w:semiHidden/>
    <w:rsid w:val="0079768E"/>
    <w:pPr>
      <w:tabs>
        <w:tab w:val="left" w:pos="1276"/>
        <w:tab w:val="right" w:leader="dot" w:pos="8454"/>
      </w:tabs>
      <w:ind w:left="567"/>
    </w:pPr>
    <w:rPr>
      <w:sz w:val="22"/>
      <w:szCs w:val="22"/>
    </w:rPr>
  </w:style>
  <w:style w:type="paragraph" w:styleId="TOC4">
    <w:name w:val="toc 4"/>
    <w:basedOn w:val="Normal"/>
    <w:next w:val="Normal"/>
    <w:semiHidden/>
    <w:rsid w:val="0079768E"/>
    <w:pPr>
      <w:tabs>
        <w:tab w:val="right" w:leader="dot" w:pos="8453"/>
      </w:tabs>
      <w:spacing w:after="0"/>
      <w:ind w:left="720"/>
    </w:pPr>
  </w:style>
  <w:style w:type="paragraph" w:styleId="ListParagraph">
    <w:name w:val="List Paragraph"/>
    <w:basedOn w:val="Normal"/>
    <w:uiPriority w:val="34"/>
    <w:qFormat/>
    <w:rsid w:val="000D4F7A"/>
    <w:pPr>
      <w:spacing w:before="0" w:after="200" w:line="276" w:lineRule="auto"/>
      <w:ind w:left="720"/>
      <w:contextualSpacing/>
      <w:jc w:val="left"/>
    </w:pPr>
    <w:rPr>
      <w:rFonts w:ascii="Calibri" w:eastAsia="Calibri" w:hAnsi="Calibri"/>
      <w:sz w:val="22"/>
      <w:szCs w:val="22"/>
      <w:lang w:val="en-GB" w:eastAsia="en-US"/>
    </w:rPr>
  </w:style>
  <w:style w:type="paragraph" w:styleId="Footer">
    <w:name w:val="footer"/>
    <w:basedOn w:val="Networkfooter"/>
    <w:link w:val="FooterChar"/>
    <w:rsid w:val="000D4F7A"/>
    <w:pPr>
      <w:tabs>
        <w:tab w:val="center" w:pos="4153"/>
        <w:tab w:val="right" w:pos="8306"/>
      </w:tabs>
      <w:spacing w:before="0" w:after="0" w:line="240" w:lineRule="auto"/>
      <w:jc w:val="left"/>
    </w:pPr>
    <w:rPr>
      <w:rFonts w:ascii="Times New Roman" w:hAnsi="Times New Roman"/>
      <w:sz w:val="24"/>
      <w:szCs w:val="24"/>
    </w:rPr>
  </w:style>
  <w:style w:type="character" w:customStyle="1" w:styleId="FooterChar">
    <w:name w:val="Footer Char"/>
    <w:basedOn w:val="DefaultParagraphFont"/>
    <w:link w:val="Footer"/>
    <w:rsid w:val="00E80C2D"/>
    <w:rPr>
      <w:rFonts w:cs="Arial"/>
      <w:color w:val="595959"/>
      <w:sz w:val="24"/>
      <w:szCs w:val="24"/>
      <w:lang w:val="en-US" w:eastAsia="en-US"/>
    </w:rPr>
  </w:style>
  <w:style w:type="character" w:styleId="PageNumber">
    <w:name w:val="page number"/>
    <w:basedOn w:val="DefaultParagraphFont"/>
    <w:rsid w:val="000D4F7A"/>
  </w:style>
  <w:style w:type="paragraph" w:styleId="Header">
    <w:name w:val="header"/>
    <w:basedOn w:val="Normal"/>
    <w:link w:val="HeaderChar"/>
    <w:rsid w:val="000D4F7A"/>
    <w:pPr>
      <w:tabs>
        <w:tab w:val="center" w:pos="4513"/>
        <w:tab w:val="right" w:pos="9026"/>
      </w:tabs>
      <w:spacing w:before="0" w:after="0" w:line="240" w:lineRule="auto"/>
      <w:jc w:val="left"/>
    </w:pPr>
    <w:rPr>
      <w:rFonts w:ascii="Times New Roman" w:hAnsi="Times New Roman"/>
      <w:sz w:val="24"/>
      <w:szCs w:val="24"/>
    </w:rPr>
  </w:style>
  <w:style w:type="character" w:customStyle="1" w:styleId="HeaderChar">
    <w:name w:val="Header Char"/>
    <w:basedOn w:val="DefaultParagraphFont"/>
    <w:link w:val="Header"/>
    <w:rsid w:val="000D4F7A"/>
    <w:rPr>
      <w:sz w:val="24"/>
      <w:szCs w:val="24"/>
      <w:lang w:val="en-AU" w:eastAsia="en-AU" w:bidi="ar-SA"/>
    </w:rPr>
  </w:style>
  <w:style w:type="paragraph" w:customStyle="1" w:styleId="BodyText1">
    <w:name w:val="Body Text1"/>
    <w:basedOn w:val="Default"/>
    <w:next w:val="Default"/>
    <w:link w:val="bodytextChar"/>
    <w:rsid w:val="00AB62B6"/>
    <w:rPr>
      <w:rFonts w:ascii="Arial" w:hAnsi="Arial"/>
      <w:color w:val="auto"/>
    </w:rPr>
  </w:style>
  <w:style w:type="paragraph" w:styleId="NormalWeb">
    <w:name w:val="Normal (Web)"/>
    <w:basedOn w:val="Normal"/>
    <w:uiPriority w:val="99"/>
    <w:rsid w:val="00AB62B6"/>
    <w:pPr>
      <w:spacing w:before="100" w:beforeAutospacing="1" w:after="100" w:afterAutospacing="1" w:line="240" w:lineRule="auto"/>
      <w:jc w:val="left"/>
    </w:pPr>
    <w:rPr>
      <w:rFonts w:ascii="Verdana" w:hAnsi="Verdana"/>
      <w:color w:val="000000"/>
      <w:sz w:val="18"/>
      <w:szCs w:val="18"/>
    </w:rPr>
  </w:style>
  <w:style w:type="character" w:styleId="Strong">
    <w:name w:val="Strong"/>
    <w:basedOn w:val="DefaultParagraphFont"/>
    <w:uiPriority w:val="22"/>
    <w:qFormat/>
    <w:rsid w:val="00AB62B6"/>
    <w:rPr>
      <w:b/>
      <w:bCs/>
    </w:rPr>
  </w:style>
  <w:style w:type="character" w:styleId="FollowedHyperlink">
    <w:name w:val="FollowedHyperlink"/>
    <w:basedOn w:val="DefaultParagraphFont"/>
    <w:rsid w:val="00843D44"/>
    <w:rPr>
      <w:color w:val="800080"/>
      <w:u w:val="single"/>
    </w:rPr>
  </w:style>
  <w:style w:type="character" w:customStyle="1" w:styleId="journal-journaltitle1">
    <w:name w:val="journal-journaltitle1"/>
    <w:basedOn w:val="DefaultParagraphFont"/>
    <w:rsid w:val="009943AC"/>
    <w:rPr>
      <w:rFonts w:ascii="Courier New" w:hAnsi="Courier New" w:cs="Courier New" w:hint="default"/>
      <w:b/>
      <w:bCs/>
      <w:sz w:val="30"/>
      <w:szCs w:val="30"/>
    </w:rPr>
  </w:style>
  <w:style w:type="paragraph" w:customStyle="1" w:styleId="default0">
    <w:name w:val="default"/>
    <w:basedOn w:val="Normal"/>
    <w:uiPriority w:val="99"/>
    <w:rsid w:val="007A3341"/>
    <w:pPr>
      <w:autoSpaceDE w:val="0"/>
      <w:autoSpaceDN w:val="0"/>
      <w:spacing w:before="0" w:after="0" w:line="240" w:lineRule="auto"/>
      <w:jc w:val="left"/>
    </w:pPr>
    <w:rPr>
      <w:rFonts w:ascii="Times New Roman" w:hAnsi="Times New Roman"/>
      <w:color w:val="000000"/>
      <w:sz w:val="24"/>
      <w:szCs w:val="24"/>
    </w:rPr>
  </w:style>
  <w:style w:type="paragraph" w:customStyle="1" w:styleId="default00">
    <w:name w:val="default0"/>
    <w:basedOn w:val="Normal"/>
    <w:rsid w:val="007A3341"/>
    <w:pPr>
      <w:autoSpaceDE w:val="0"/>
      <w:autoSpaceDN w:val="0"/>
      <w:spacing w:before="0" w:after="0" w:line="240" w:lineRule="auto"/>
      <w:jc w:val="left"/>
    </w:pPr>
    <w:rPr>
      <w:rFonts w:ascii="Times New Roman" w:hAnsi="Times New Roman"/>
      <w:color w:val="000000"/>
      <w:sz w:val="24"/>
      <w:szCs w:val="24"/>
    </w:rPr>
  </w:style>
  <w:style w:type="character" w:styleId="FootnoteReference">
    <w:name w:val="footnote reference"/>
    <w:aliases w:val="(NECG) Footnote Reference,(NECG) Footnote Reference1,(NECG) Footnote Reference2,o,Style 3,Style 12,fr,Appel note de bas de p,Style 124,(NECG) Footnote,-E Fußnotenzeichen,(Diplomarbeit FZ),(Diplomarbeit FZ)1,(Diplomarbeit FZ)2"/>
    <w:basedOn w:val="DefaultParagraphFont"/>
    <w:rsid w:val="009556B3"/>
    <w:rPr>
      <w:vertAlign w:val="superscript"/>
    </w:rPr>
  </w:style>
  <w:style w:type="character" w:customStyle="1" w:styleId="CharChar4">
    <w:name w:val="Char Char4"/>
    <w:basedOn w:val="DefaultParagraphFont"/>
    <w:locked/>
    <w:rsid w:val="009556B3"/>
    <w:rPr>
      <w:sz w:val="18"/>
      <w:szCs w:val="24"/>
      <w:lang w:val="en-AU" w:eastAsia="en-AU" w:bidi="ar-SA"/>
    </w:rPr>
  </w:style>
  <w:style w:type="character" w:styleId="Emphasis">
    <w:name w:val="Emphasis"/>
    <w:basedOn w:val="DefaultParagraphFont"/>
    <w:uiPriority w:val="20"/>
    <w:qFormat/>
    <w:rsid w:val="001126FC"/>
    <w:rPr>
      <w:i/>
      <w:iCs/>
    </w:rPr>
  </w:style>
  <w:style w:type="paragraph" w:styleId="BodyText">
    <w:name w:val="Body Text"/>
    <w:basedOn w:val="Normal"/>
    <w:link w:val="BodyTextChar0"/>
    <w:rsid w:val="001126FC"/>
    <w:pPr>
      <w:spacing w:before="240" w:after="0" w:line="280" w:lineRule="atLeast"/>
    </w:pPr>
    <w:rPr>
      <w:rFonts w:ascii="Book Antiqua" w:hAnsi="Book Antiqua"/>
      <w:sz w:val="21"/>
      <w:szCs w:val="21"/>
    </w:rPr>
  </w:style>
  <w:style w:type="character" w:customStyle="1" w:styleId="BodyTextChar0">
    <w:name w:val="Body Text Char"/>
    <w:basedOn w:val="DefaultParagraphFont"/>
    <w:link w:val="BodyText"/>
    <w:locked/>
    <w:rsid w:val="001126FC"/>
    <w:rPr>
      <w:rFonts w:ascii="Book Antiqua" w:hAnsi="Book Antiqua"/>
      <w:sz w:val="21"/>
      <w:szCs w:val="21"/>
      <w:lang w:val="en-AU" w:eastAsia="en-AU" w:bidi="ar-SA"/>
    </w:rPr>
  </w:style>
  <w:style w:type="paragraph" w:customStyle="1" w:styleId="introduction1">
    <w:name w:val="introduction1"/>
    <w:basedOn w:val="Normal"/>
    <w:rsid w:val="0059702D"/>
    <w:pPr>
      <w:spacing w:before="195" w:after="100" w:afterAutospacing="1" w:line="240" w:lineRule="auto"/>
      <w:jc w:val="left"/>
    </w:pPr>
    <w:rPr>
      <w:rFonts w:ascii="Times New Roman" w:hAnsi="Times New Roman"/>
      <w:color w:val="000000"/>
      <w:sz w:val="24"/>
      <w:szCs w:val="24"/>
    </w:rPr>
  </w:style>
  <w:style w:type="character" w:customStyle="1" w:styleId="bodytextChar">
    <w:name w:val="body text Char"/>
    <w:basedOn w:val="DefaultParagraphFont"/>
    <w:link w:val="BodyText1"/>
    <w:rsid w:val="00772684"/>
    <w:rPr>
      <w:rFonts w:ascii="Arial" w:hAnsi="Arial"/>
      <w:sz w:val="24"/>
      <w:szCs w:val="24"/>
      <w:lang w:val="en-AU" w:eastAsia="en-AU" w:bidi="ar-SA"/>
    </w:rPr>
  </w:style>
  <w:style w:type="paragraph" w:customStyle="1" w:styleId="Boxcaption">
    <w:name w:val="Box caption"/>
    <w:basedOn w:val="Caption"/>
    <w:next w:val="BodyText"/>
    <w:rsid w:val="00F449A7"/>
    <w:pPr>
      <w:keepNext/>
      <w:tabs>
        <w:tab w:val="left" w:pos="1361"/>
      </w:tabs>
      <w:spacing w:before="300" w:after="60" w:line="280" w:lineRule="atLeast"/>
      <w:ind w:left="1361" w:hanging="1361"/>
      <w:jc w:val="left"/>
    </w:pPr>
    <w:rPr>
      <w:rFonts w:eastAsia="Calibri"/>
      <w:color w:val="213F7D"/>
      <w:szCs w:val="18"/>
      <w:lang w:eastAsia="en-US"/>
    </w:rPr>
  </w:style>
  <w:style w:type="paragraph" w:styleId="Caption">
    <w:name w:val="caption"/>
    <w:basedOn w:val="Normal"/>
    <w:next w:val="Normal"/>
    <w:uiPriority w:val="35"/>
    <w:qFormat/>
    <w:rsid w:val="00F449A7"/>
    <w:rPr>
      <w:b/>
      <w:bCs/>
    </w:rPr>
  </w:style>
  <w:style w:type="paragraph" w:customStyle="1" w:styleId="Blockquotation">
    <w:name w:val="Block quotation"/>
    <w:basedOn w:val="BodyText"/>
    <w:next w:val="BodyText"/>
    <w:rsid w:val="00F449A7"/>
    <w:pPr>
      <w:spacing w:before="180" w:after="180"/>
      <w:ind w:left="340"/>
      <w:jc w:val="left"/>
    </w:pPr>
    <w:rPr>
      <w:rFonts w:ascii="Times New Roman" w:eastAsia="Calibri" w:hAnsi="Times New Roman"/>
      <w:sz w:val="20"/>
      <w:szCs w:val="22"/>
      <w:lang w:eastAsia="en-US"/>
    </w:rPr>
  </w:style>
  <w:style w:type="paragraph" w:customStyle="1" w:styleId="Bodybullet-L1-2">
    <w:name w:val="Body bullet - L1-2"/>
    <w:basedOn w:val="BodyText"/>
    <w:rsid w:val="00F449A7"/>
    <w:pPr>
      <w:numPr>
        <w:numId w:val="4"/>
      </w:numPr>
      <w:tabs>
        <w:tab w:val="clear" w:pos="340"/>
        <w:tab w:val="num" w:pos="284"/>
      </w:tabs>
      <w:spacing w:before="120" w:after="120"/>
      <w:ind w:left="284" w:hanging="284"/>
      <w:jc w:val="left"/>
    </w:pPr>
    <w:rPr>
      <w:rFonts w:ascii="Times New Roman" w:eastAsia="Calibri" w:hAnsi="Times New Roman"/>
      <w:sz w:val="22"/>
      <w:szCs w:val="24"/>
      <w:lang w:eastAsia="en-US"/>
    </w:rPr>
  </w:style>
  <w:style w:type="paragraph" w:customStyle="1" w:styleId="Boxtext">
    <w:name w:val="Box text"/>
    <w:basedOn w:val="BodyText"/>
    <w:rsid w:val="00F449A7"/>
    <w:pPr>
      <w:spacing w:before="180" w:after="120"/>
      <w:jc w:val="left"/>
    </w:pPr>
    <w:rPr>
      <w:rFonts w:ascii="Arial" w:eastAsia="Calibri" w:hAnsi="Arial"/>
      <w:sz w:val="20"/>
      <w:szCs w:val="24"/>
      <w:lang w:eastAsia="en-US"/>
    </w:rPr>
  </w:style>
  <w:style w:type="character" w:customStyle="1" w:styleId="FootnoteTextChar">
    <w:name w:val="Footnote Text Char"/>
    <w:aliases w:val="ALTS FOOTNOTE Char1 Char,Footnote Text Char1 Char Char,Footnote Text Char Char Char Char"/>
    <w:basedOn w:val="DefaultParagraphFont"/>
    <w:locked/>
    <w:rsid w:val="00F449A7"/>
    <w:rPr>
      <w:rFonts w:ascii="Arial" w:hAnsi="Arial" w:cs="Times New Roman"/>
      <w:sz w:val="16"/>
    </w:rPr>
  </w:style>
  <w:style w:type="paragraph" w:customStyle="1" w:styleId="BoxTablenumberedlist-L1-2">
    <w:name w:val="Box/Table numbered list - L1-2"/>
    <w:basedOn w:val="Boxtext"/>
    <w:rsid w:val="00F449A7"/>
    <w:pPr>
      <w:numPr>
        <w:numId w:val="5"/>
      </w:numPr>
      <w:spacing w:before="60"/>
    </w:pPr>
  </w:style>
  <w:style w:type="paragraph" w:customStyle="1" w:styleId="Titleofbrief">
    <w:name w:val="Title of brief"/>
    <w:basedOn w:val="Heading1"/>
    <w:next w:val="Normal"/>
    <w:rsid w:val="00F449A7"/>
    <w:pPr>
      <w:pageBreakBefore/>
      <w:tabs>
        <w:tab w:val="clear" w:pos="709"/>
      </w:tabs>
      <w:spacing w:after="180" w:line="320" w:lineRule="atLeast"/>
      <w:jc w:val="center"/>
    </w:pPr>
    <w:rPr>
      <w:rFonts w:ascii="Times New Roman" w:eastAsia="Calibri" w:hAnsi="Times New Roman" w:cs="Arial"/>
      <w:b w:val="0"/>
      <w:bCs/>
      <w:color w:val="213F7D"/>
      <w:kern w:val="32"/>
      <w:sz w:val="32"/>
      <w:szCs w:val="32"/>
      <w:lang w:eastAsia="en-US"/>
    </w:rPr>
  </w:style>
  <w:style w:type="character" w:customStyle="1" w:styleId="listingitemdate">
    <w:name w:val="listingitemdate"/>
    <w:basedOn w:val="DefaultParagraphFont"/>
    <w:rsid w:val="00E9207E"/>
  </w:style>
  <w:style w:type="character" w:customStyle="1" w:styleId="listingitemdesc">
    <w:name w:val="listingitemdesc"/>
    <w:basedOn w:val="DefaultParagraphFont"/>
    <w:rsid w:val="00E9207E"/>
  </w:style>
  <w:style w:type="character" w:customStyle="1" w:styleId="detail">
    <w:name w:val="detail"/>
    <w:basedOn w:val="DefaultParagraphFont"/>
    <w:rsid w:val="00E9207E"/>
  </w:style>
  <w:style w:type="paragraph" w:customStyle="1" w:styleId="BoxListBullet">
    <w:name w:val="Box List Bullet"/>
    <w:basedOn w:val="BodyText"/>
    <w:rsid w:val="00D7632E"/>
    <w:pPr>
      <w:keepNext/>
      <w:numPr>
        <w:numId w:val="6"/>
      </w:numPr>
      <w:spacing w:before="120"/>
    </w:pPr>
    <w:rPr>
      <w:rFonts w:ascii="Arial" w:hAnsi="Arial"/>
      <w:sz w:val="22"/>
      <w:szCs w:val="20"/>
    </w:rPr>
  </w:style>
  <w:style w:type="paragraph" w:customStyle="1" w:styleId="Date1">
    <w:name w:val="Date1"/>
    <w:basedOn w:val="Normal"/>
    <w:rsid w:val="00047874"/>
    <w:pPr>
      <w:spacing w:before="100" w:beforeAutospacing="1" w:after="100" w:afterAutospacing="1" w:line="240" w:lineRule="auto"/>
      <w:jc w:val="left"/>
    </w:pPr>
    <w:rPr>
      <w:rFonts w:ascii="Times New Roman" w:hAnsi="Times New Roman"/>
      <w:sz w:val="24"/>
      <w:szCs w:val="24"/>
    </w:rPr>
  </w:style>
  <w:style w:type="character" w:customStyle="1" w:styleId="newsdate">
    <w:name w:val="newsdate"/>
    <w:basedOn w:val="DefaultParagraphFont"/>
    <w:rsid w:val="007E4A33"/>
  </w:style>
  <w:style w:type="paragraph" w:customStyle="1" w:styleId="section-links">
    <w:name w:val="section-links"/>
    <w:basedOn w:val="Normal"/>
    <w:rsid w:val="009A70DA"/>
    <w:pPr>
      <w:spacing w:before="100" w:beforeAutospacing="1" w:after="100" w:afterAutospacing="1" w:line="240" w:lineRule="auto"/>
      <w:jc w:val="left"/>
    </w:pPr>
    <w:rPr>
      <w:rFonts w:ascii="Times New Roman" w:hAnsi="Times New Roman"/>
      <w:sz w:val="24"/>
      <w:szCs w:val="24"/>
    </w:rPr>
  </w:style>
  <w:style w:type="character" w:customStyle="1" w:styleId="detaillabel">
    <w:name w:val="detaillabel"/>
    <w:basedOn w:val="DefaultParagraphFont"/>
    <w:rsid w:val="003D229E"/>
  </w:style>
  <w:style w:type="paragraph" w:styleId="Bibliography">
    <w:name w:val="Bibliography"/>
    <w:basedOn w:val="Normal"/>
    <w:rsid w:val="007E7C3B"/>
    <w:pPr>
      <w:spacing w:before="0" w:after="0"/>
      <w:ind w:left="720" w:hanging="720"/>
      <w:jc w:val="left"/>
    </w:pPr>
    <w:rPr>
      <w:rFonts w:ascii="Times New Roman" w:hAnsi="Times New Roman"/>
      <w:szCs w:val="24"/>
    </w:rPr>
  </w:style>
  <w:style w:type="paragraph" w:customStyle="1" w:styleId="Text">
    <w:name w:val="Text"/>
    <w:basedOn w:val="Normal"/>
    <w:rsid w:val="00A00E28"/>
    <w:pPr>
      <w:spacing w:after="0" w:line="300" w:lineRule="exact"/>
    </w:pPr>
    <w:rPr>
      <w:rFonts w:cs="Arial"/>
      <w:sz w:val="22"/>
      <w:szCs w:val="22"/>
    </w:rPr>
  </w:style>
  <w:style w:type="paragraph" w:customStyle="1" w:styleId="Subheading">
    <w:name w:val="Subheading"/>
    <w:basedOn w:val="Normal"/>
    <w:rsid w:val="00A00E28"/>
    <w:pPr>
      <w:spacing w:before="240" w:after="0" w:line="280" w:lineRule="exact"/>
    </w:pPr>
    <w:rPr>
      <w:rFonts w:cs="Arial"/>
      <w:b/>
      <w:color w:val="31849B"/>
      <w:sz w:val="23"/>
      <w:szCs w:val="23"/>
    </w:rPr>
  </w:style>
  <w:style w:type="paragraph" w:customStyle="1" w:styleId="acbullet">
    <w:name w:val="acbullet"/>
    <w:basedOn w:val="Normal"/>
    <w:rsid w:val="006044CE"/>
    <w:pPr>
      <w:numPr>
        <w:numId w:val="7"/>
      </w:numPr>
      <w:spacing w:before="0" w:after="0" w:line="240" w:lineRule="auto"/>
      <w:jc w:val="left"/>
    </w:pPr>
    <w:rPr>
      <w:rFonts w:ascii="Calibri" w:eastAsia="Calibri" w:hAnsi="Calibri"/>
      <w:sz w:val="22"/>
      <w:szCs w:val="22"/>
      <w:lang w:val="en-US" w:eastAsia="en-US"/>
    </w:rPr>
  </w:style>
  <w:style w:type="paragraph" w:customStyle="1" w:styleId="AERbodytext">
    <w:name w:val="AER body text"/>
    <w:link w:val="AERbodytextChar"/>
    <w:rsid w:val="008121EE"/>
    <w:pPr>
      <w:spacing w:before="240" w:after="240"/>
      <w:jc w:val="both"/>
    </w:pPr>
    <w:rPr>
      <w:sz w:val="24"/>
      <w:szCs w:val="24"/>
      <w:lang w:eastAsia="en-US"/>
    </w:rPr>
  </w:style>
  <w:style w:type="character" w:customStyle="1" w:styleId="AERbodytextChar">
    <w:name w:val="AER body text Char"/>
    <w:basedOn w:val="DefaultParagraphFont"/>
    <w:link w:val="AERbodytext"/>
    <w:rsid w:val="008121EE"/>
    <w:rPr>
      <w:sz w:val="24"/>
      <w:szCs w:val="24"/>
      <w:lang w:val="en-AU" w:eastAsia="en-US" w:bidi="ar-SA"/>
    </w:rPr>
  </w:style>
  <w:style w:type="paragraph" w:styleId="EndnoteText">
    <w:name w:val="endnote text"/>
    <w:basedOn w:val="Normal"/>
    <w:link w:val="EndnoteTextChar"/>
    <w:uiPriority w:val="99"/>
    <w:rsid w:val="0069566D"/>
  </w:style>
  <w:style w:type="character" w:styleId="EndnoteReference">
    <w:name w:val="endnote reference"/>
    <w:basedOn w:val="DefaultParagraphFont"/>
    <w:semiHidden/>
    <w:rsid w:val="0069566D"/>
    <w:rPr>
      <w:vertAlign w:val="superscript"/>
    </w:rPr>
  </w:style>
  <w:style w:type="paragraph" w:customStyle="1" w:styleId="Tabberschrift">
    <w:name w:val="Tab_Überschrift"/>
    <w:basedOn w:val="Normal"/>
    <w:next w:val="Normal"/>
    <w:rsid w:val="000A49DA"/>
    <w:pPr>
      <w:keepNext/>
      <w:spacing w:after="0" w:line="240" w:lineRule="auto"/>
      <w:ind w:left="1843" w:hanging="1843"/>
      <w:jc w:val="left"/>
    </w:pPr>
    <w:rPr>
      <w:rFonts w:ascii="Times New Roman" w:hAnsi="Times New Roman"/>
      <w:sz w:val="24"/>
      <w:szCs w:val="24"/>
    </w:rPr>
  </w:style>
  <w:style w:type="character" w:customStyle="1" w:styleId="doc">
    <w:name w:val="doc"/>
    <w:basedOn w:val="DefaultParagraphFont"/>
    <w:rsid w:val="006C48F4"/>
  </w:style>
  <w:style w:type="character" w:customStyle="1" w:styleId="GenevievePound">
    <w:name w:val="Genevieve Pound"/>
    <w:basedOn w:val="DefaultParagraphFont"/>
    <w:semiHidden/>
    <w:rsid w:val="006C48F4"/>
    <w:rPr>
      <w:rFonts w:ascii="Arial" w:hAnsi="Arial" w:cs="Arial"/>
      <w:color w:val="auto"/>
      <w:sz w:val="20"/>
      <w:szCs w:val="20"/>
    </w:rPr>
  </w:style>
  <w:style w:type="paragraph" w:styleId="PlainText">
    <w:name w:val="Plain Text"/>
    <w:basedOn w:val="Normal"/>
    <w:link w:val="PlainTextChar"/>
    <w:uiPriority w:val="99"/>
    <w:unhideWhenUsed/>
    <w:rsid w:val="00CA6BCD"/>
    <w:pPr>
      <w:spacing w:before="0" w:after="0" w:line="240" w:lineRule="auto"/>
      <w:jc w:val="left"/>
    </w:pPr>
    <w:rPr>
      <w:rFonts w:ascii="Consolas" w:eastAsia="Calibri" w:hAnsi="Consolas"/>
      <w:sz w:val="21"/>
      <w:szCs w:val="21"/>
      <w:lang w:eastAsia="en-US"/>
    </w:rPr>
  </w:style>
  <w:style w:type="character" w:customStyle="1" w:styleId="PlainTextChar">
    <w:name w:val="Plain Text Char"/>
    <w:basedOn w:val="DefaultParagraphFont"/>
    <w:link w:val="PlainText"/>
    <w:uiPriority w:val="99"/>
    <w:rsid w:val="00CA6BCD"/>
    <w:rPr>
      <w:rFonts w:ascii="Consolas" w:eastAsia="Calibri" w:hAnsi="Consolas" w:cs="Times New Roman"/>
      <w:sz w:val="21"/>
      <w:szCs w:val="21"/>
      <w:lang w:eastAsia="en-US"/>
    </w:rPr>
  </w:style>
  <w:style w:type="paragraph" w:styleId="List2">
    <w:name w:val="List 2"/>
    <w:basedOn w:val="Normal"/>
    <w:rsid w:val="009A4232"/>
    <w:pPr>
      <w:numPr>
        <w:ilvl w:val="1"/>
        <w:numId w:val="8"/>
      </w:numPr>
      <w:tabs>
        <w:tab w:val="clear" w:pos="1133"/>
        <w:tab w:val="num" w:pos="1492"/>
      </w:tabs>
      <w:spacing w:before="0" w:after="240" w:line="240" w:lineRule="auto"/>
      <w:ind w:left="1492" w:hanging="360"/>
    </w:pPr>
    <w:rPr>
      <w:rFonts w:ascii="Times New Roman" w:hAnsi="Times New Roman"/>
      <w:sz w:val="22"/>
      <w:lang w:eastAsia="en-US"/>
    </w:rPr>
  </w:style>
  <w:style w:type="paragraph" w:styleId="ListNumber">
    <w:name w:val="List Number"/>
    <w:basedOn w:val="Normal"/>
    <w:rsid w:val="009A4232"/>
    <w:pPr>
      <w:numPr>
        <w:numId w:val="8"/>
      </w:numPr>
      <w:spacing w:before="0" w:after="240" w:line="240" w:lineRule="auto"/>
    </w:pPr>
    <w:rPr>
      <w:rFonts w:ascii="Times New Roman" w:hAnsi="Times New Roman"/>
      <w:sz w:val="22"/>
      <w:lang w:eastAsia="en-US"/>
    </w:rPr>
  </w:style>
  <w:style w:type="paragraph" w:styleId="ListNumber3">
    <w:name w:val="List Number 3"/>
    <w:basedOn w:val="Normal"/>
    <w:rsid w:val="009A4232"/>
    <w:pPr>
      <w:numPr>
        <w:ilvl w:val="2"/>
        <w:numId w:val="8"/>
      </w:numPr>
      <w:spacing w:before="0" w:after="240" w:line="240" w:lineRule="auto"/>
      <w:ind w:hanging="567"/>
    </w:pPr>
    <w:rPr>
      <w:rFonts w:ascii="Times New Roman" w:hAnsi="Times New Roman"/>
      <w:sz w:val="22"/>
      <w:lang w:eastAsia="en-US"/>
    </w:rPr>
  </w:style>
  <w:style w:type="paragraph" w:customStyle="1" w:styleId="bullet">
    <w:name w:val="bullet"/>
    <w:basedOn w:val="BodyTextIndent"/>
    <w:semiHidden/>
    <w:rsid w:val="00DB07FB"/>
    <w:pPr>
      <w:numPr>
        <w:numId w:val="9"/>
      </w:numPr>
      <w:spacing w:before="0" w:after="240" w:line="240" w:lineRule="auto"/>
    </w:pPr>
    <w:rPr>
      <w:rFonts w:ascii="Times New Roman" w:hAnsi="Times New Roman"/>
      <w:sz w:val="22"/>
      <w:lang w:eastAsia="en-US"/>
    </w:rPr>
  </w:style>
  <w:style w:type="paragraph" w:customStyle="1" w:styleId="bullet2">
    <w:name w:val="bullet 2"/>
    <w:basedOn w:val="Normal"/>
    <w:semiHidden/>
    <w:rsid w:val="00DB07FB"/>
    <w:pPr>
      <w:numPr>
        <w:ilvl w:val="1"/>
        <w:numId w:val="9"/>
      </w:numPr>
      <w:spacing w:before="0" w:after="240" w:line="240" w:lineRule="auto"/>
    </w:pPr>
    <w:rPr>
      <w:rFonts w:ascii="Times New Roman" w:hAnsi="Times New Roman"/>
      <w:sz w:val="22"/>
      <w:lang w:eastAsia="en-US"/>
    </w:rPr>
  </w:style>
  <w:style w:type="paragraph" w:styleId="BodyTextIndent">
    <w:name w:val="Body Text Indent"/>
    <w:basedOn w:val="Normal"/>
    <w:link w:val="BodyTextIndentChar"/>
    <w:rsid w:val="00DB07FB"/>
    <w:pPr>
      <w:ind w:left="283"/>
    </w:pPr>
  </w:style>
  <w:style w:type="character" w:customStyle="1" w:styleId="BodyTextIndentChar">
    <w:name w:val="Body Text Indent Char"/>
    <w:basedOn w:val="DefaultParagraphFont"/>
    <w:link w:val="BodyTextIndent"/>
    <w:rsid w:val="00DB07FB"/>
    <w:rPr>
      <w:rFonts w:ascii="Arial" w:hAnsi="Arial"/>
    </w:rPr>
  </w:style>
  <w:style w:type="paragraph" w:customStyle="1" w:styleId="Quotation">
    <w:name w:val="Quotation"/>
    <w:basedOn w:val="BodyTextIndent"/>
    <w:next w:val="BodyTextIndent"/>
    <w:rsid w:val="00D84508"/>
    <w:pPr>
      <w:spacing w:before="0" w:after="240" w:line="240" w:lineRule="auto"/>
      <w:ind w:left="1134" w:right="567"/>
    </w:pPr>
    <w:rPr>
      <w:rFonts w:ascii="Times New Roman" w:hAnsi="Times New Roman"/>
      <w:i/>
      <w:sz w:val="18"/>
      <w:lang w:eastAsia="en-US"/>
    </w:rPr>
  </w:style>
  <w:style w:type="paragraph" w:customStyle="1" w:styleId="ungerKopfzeile">
    <w:name w:val="unger. Kopfzeile"/>
    <w:basedOn w:val="Normal"/>
    <w:rsid w:val="00302595"/>
    <w:pPr>
      <w:tabs>
        <w:tab w:val="center" w:pos="4253"/>
        <w:tab w:val="right" w:pos="8505"/>
      </w:tabs>
      <w:spacing w:before="0" w:after="480" w:line="240" w:lineRule="auto"/>
      <w:jc w:val="left"/>
    </w:pPr>
    <w:rPr>
      <w:rFonts w:ascii="Times New Roman" w:hAnsi="Times New Roman"/>
      <w:sz w:val="24"/>
      <w:szCs w:val="24"/>
    </w:rPr>
  </w:style>
  <w:style w:type="character" w:customStyle="1" w:styleId="category-electricity1">
    <w:name w:val="category-electricity1"/>
    <w:basedOn w:val="DefaultParagraphFont"/>
    <w:rsid w:val="007F45F0"/>
    <w:rPr>
      <w:b w:val="0"/>
      <w:bCs w:val="0"/>
      <w:vanish w:val="0"/>
      <w:webHidden w:val="0"/>
      <w:color w:val="E9B100"/>
      <w:specVanish w:val="0"/>
    </w:rPr>
  </w:style>
  <w:style w:type="paragraph" w:customStyle="1" w:styleId="004a153a">
    <w:name w:val="004a153a"/>
    <w:basedOn w:val="Normal"/>
    <w:rsid w:val="00070A0D"/>
    <w:pPr>
      <w:spacing w:before="0" w:after="300" w:line="240" w:lineRule="auto"/>
      <w:jc w:val="left"/>
    </w:pPr>
    <w:rPr>
      <w:rFonts w:cs="Arial"/>
      <w:sz w:val="24"/>
      <w:szCs w:val="24"/>
    </w:rPr>
  </w:style>
  <w:style w:type="paragraph" w:customStyle="1" w:styleId="StyleGray-65LinespacingsinglePatternClearWhite">
    <w:name w:val="Style Gray-65% Line spacing:  single Pattern: Clear (White)"/>
    <w:basedOn w:val="Normal"/>
    <w:qFormat/>
    <w:rsid w:val="001F7037"/>
    <w:pPr>
      <w:shd w:val="clear" w:color="auto" w:fill="FFFFFF"/>
      <w:spacing w:line="240" w:lineRule="auto"/>
    </w:pPr>
    <w:rPr>
      <w:color w:val="595959"/>
    </w:rPr>
  </w:style>
  <w:style w:type="character" w:customStyle="1" w:styleId="Network-bodytext">
    <w:name w:val="Network - body text"/>
    <w:basedOn w:val="DefaultParagraphFont"/>
    <w:qFormat/>
    <w:rsid w:val="00E90177"/>
    <w:rPr>
      <w:rFonts w:ascii="Arial" w:hAnsi="Arial"/>
      <w:color w:val="595959"/>
      <w:spacing w:val="0"/>
      <w:kern w:val="36"/>
      <w:sz w:val="20"/>
    </w:rPr>
  </w:style>
  <w:style w:type="paragraph" w:customStyle="1" w:styleId="Networknewsheading">
    <w:name w:val="Network news heading"/>
    <w:basedOn w:val="Heading2"/>
    <w:qFormat/>
    <w:rsid w:val="002F65C4"/>
    <w:pPr>
      <w:keepNext w:val="0"/>
      <w:keepLines w:val="0"/>
      <w:spacing w:beforeAutospacing="1" w:afterAutospacing="1" w:line="240" w:lineRule="auto"/>
      <w:jc w:val="both"/>
    </w:pPr>
    <w:rPr>
      <w:bCs/>
      <w:color w:val="31849B"/>
      <w:sz w:val="22"/>
    </w:rPr>
  </w:style>
  <w:style w:type="character" w:customStyle="1" w:styleId="StyleLatinArialGray-65">
    <w:name w:val="Style (Latin) Arial Gray-65%"/>
    <w:qFormat/>
    <w:rsid w:val="00C8324D"/>
    <w:rPr>
      <w:rFonts w:ascii="Arial" w:hAnsi="Arial"/>
      <w:color w:val="595959"/>
      <w:sz w:val="20"/>
    </w:rPr>
  </w:style>
  <w:style w:type="paragraph" w:styleId="BodyText2">
    <w:name w:val="Body Text 2"/>
    <w:basedOn w:val="Normal"/>
    <w:link w:val="BodyText2Char"/>
    <w:unhideWhenUsed/>
    <w:rsid w:val="008519F6"/>
    <w:pPr>
      <w:spacing w:line="480" w:lineRule="auto"/>
    </w:pPr>
    <w:rPr>
      <w:rFonts w:ascii="Times New Roman" w:eastAsia="MS Mincho" w:hAnsi="Times New Roman"/>
    </w:rPr>
  </w:style>
  <w:style w:type="character" w:customStyle="1" w:styleId="BodyText2Char">
    <w:name w:val="Body Text 2 Char"/>
    <w:basedOn w:val="DefaultParagraphFont"/>
    <w:link w:val="BodyText2"/>
    <w:rsid w:val="008519F6"/>
    <w:rPr>
      <w:rFonts w:eastAsia="MS Mincho"/>
    </w:rPr>
  </w:style>
  <w:style w:type="paragraph" w:styleId="CommentText">
    <w:name w:val="annotation text"/>
    <w:basedOn w:val="Normal"/>
    <w:link w:val="CommentTextChar"/>
    <w:uiPriority w:val="99"/>
    <w:unhideWhenUsed/>
    <w:rsid w:val="008519F6"/>
    <w:rPr>
      <w:lang w:val="en-US" w:eastAsia="en-US"/>
    </w:rPr>
  </w:style>
  <w:style w:type="character" w:customStyle="1" w:styleId="CommentTextChar">
    <w:name w:val="Comment Text Char"/>
    <w:basedOn w:val="DefaultParagraphFont"/>
    <w:link w:val="CommentText"/>
    <w:uiPriority w:val="99"/>
    <w:rsid w:val="008519F6"/>
    <w:rPr>
      <w:rFonts w:ascii="Arial" w:hAnsi="Arial"/>
      <w:lang w:val="en-US" w:eastAsia="en-US"/>
    </w:rPr>
  </w:style>
  <w:style w:type="paragraph" w:styleId="CommentSubject">
    <w:name w:val="annotation subject"/>
    <w:basedOn w:val="CommentText"/>
    <w:next w:val="CommentText"/>
    <w:link w:val="CommentSubjectChar"/>
    <w:uiPriority w:val="99"/>
    <w:unhideWhenUsed/>
    <w:rsid w:val="008519F6"/>
    <w:rPr>
      <w:b/>
      <w:bCs/>
    </w:rPr>
  </w:style>
  <w:style w:type="character" w:customStyle="1" w:styleId="CommentSubjectChar">
    <w:name w:val="Comment Subject Char"/>
    <w:basedOn w:val="CommentTextChar"/>
    <w:link w:val="CommentSubject"/>
    <w:uiPriority w:val="99"/>
    <w:rsid w:val="008519F6"/>
    <w:rPr>
      <w:rFonts w:ascii="Arial" w:hAnsi="Arial"/>
      <w:b/>
      <w:bCs/>
      <w:lang w:val="en-US" w:eastAsia="en-US"/>
    </w:rPr>
  </w:style>
  <w:style w:type="paragraph" w:styleId="Revision">
    <w:name w:val="Revision"/>
    <w:hidden/>
    <w:uiPriority w:val="99"/>
    <w:semiHidden/>
    <w:rsid w:val="008519F6"/>
    <w:rPr>
      <w:lang w:val="en-US" w:eastAsia="en-US"/>
    </w:rPr>
  </w:style>
  <w:style w:type="character" w:customStyle="1" w:styleId="BalloonTextChar">
    <w:name w:val="Balloon Text Char"/>
    <w:link w:val="BalloonText"/>
    <w:uiPriority w:val="99"/>
    <w:semiHidden/>
    <w:rsid w:val="008519F6"/>
    <w:rPr>
      <w:rFonts w:ascii="Tahoma" w:hAnsi="Tahoma" w:cs="Tahoma"/>
      <w:sz w:val="16"/>
      <w:szCs w:val="16"/>
    </w:rPr>
  </w:style>
  <w:style w:type="character" w:customStyle="1" w:styleId="EndnoteTextChar">
    <w:name w:val="Endnote Text Char"/>
    <w:link w:val="EndnoteText"/>
    <w:uiPriority w:val="99"/>
    <w:rsid w:val="008519F6"/>
    <w:rPr>
      <w:rFonts w:ascii="Arial" w:hAnsi="Arial"/>
    </w:rPr>
  </w:style>
  <w:style w:type="character" w:customStyle="1" w:styleId="Heading2Char">
    <w:name w:val="Heading 2 Char"/>
    <w:link w:val="Heading2"/>
    <w:rsid w:val="008519F6"/>
    <w:rPr>
      <w:rFonts w:ascii="Arial" w:hAnsi="Arial"/>
      <w:b/>
      <w:color w:val="333399"/>
      <w:sz w:val="28"/>
    </w:rPr>
  </w:style>
  <w:style w:type="character" w:customStyle="1" w:styleId="Heading1Char">
    <w:name w:val="Heading 1 Char"/>
    <w:link w:val="Heading1"/>
    <w:rsid w:val="008519F6"/>
    <w:rPr>
      <w:rFonts w:ascii="Arial" w:hAnsi="Arial"/>
      <w:b/>
      <w:color w:val="333399"/>
      <w:sz w:val="36"/>
    </w:rPr>
  </w:style>
  <w:style w:type="character" w:customStyle="1" w:styleId="Heading4Char">
    <w:name w:val="Heading 4 Char"/>
    <w:link w:val="Heading4"/>
    <w:rsid w:val="008519F6"/>
    <w:rPr>
      <w:rFonts w:ascii="Arial" w:hAnsi="Arial"/>
      <w:b/>
      <w:sz w:val="22"/>
    </w:rPr>
  </w:style>
  <w:style w:type="character" w:customStyle="1" w:styleId="Heading5Char">
    <w:name w:val="Heading 5 Char"/>
    <w:link w:val="Heading5"/>
    <w:rsid w:val="008519F6"/>
    <w:rPr>
      <w:rFonts w:ascii="Arial" w:hAnsi="Arial"/>
      <w:i/>
      <w:sz w:val="22"/>
    </w:rPr>
  </w:style>
  <w:style w:type="character" w:customStyle="1" w:styleId="Heading6Char">
    <w:name w:val="Heading 6 Char"/>
    <w:link w:val="Heading6"/>
    <w:rsid w:val="008519F6"/>
    <w:rPr>
      <w:rFonts w:eastAsia="Calibri"/>
      <w:b/>
      <w:bCs/>
      <w:sz w:val="22"/>
      <w:szCs w:val="22"/>
      <w:lang w:eastAsia="en-US"/>
    </w:rPr>
  </w:style>
  <w:style w:type="character" w:customStyle="1" w:styleId="Heading7Char">
    <w:name w:val="Heading 7 Char"/>
    <w:link w:val="Heading7"/>
    <w:rsid w:val="008519F6"/>
    <w:rPr>
      <w:rFonts w:eastAsia="Calibri"/>
      <w:sz w:val="24"/>
      <w:szCs w:val="24"/>
      <w:lang w:eastAsia="en-US"/>
    </w:rPr>
  </w:style>
  <w:style w:type="character" w:customStyle="1" w:styleId="Heading8Char">
    <w:name w:val="Heading 8 Char"/>
    <w:link w:val="Heading8"/>
    <w:rsid w:val="008519F6"/>
    <w:rPr>
      <w:rFonts w:eastAsia="Calibri"/>
      <w:i/>
      <w:iCs/>
      <w:sz w:val="24"/>
      <w:szCs w:val="24"/>
      <w:lang w:eastAsia="en-US"/>
    </w:rPr>
  </w:style>
  <w:style w:type="character" w:customStyle="1" w:styleId="Heading9Char">
    <w:name w:val="Heading 9 Char"/>
    <w:link w:val="Heading9"/>
    <w:rsid w:val="008519F6"/>
    <w:rPr>
      <w:rFonts w:ascii="Arial" w:eastAsia="Calibri" w:hAnsi="Arial" w:cs="Arial"/>
      <w:sz w:val="22"/>
      <w:szCs w:val="22"/>
      <w:lang w:eastAsia="en-US"/>
    </w:rPr>
  </w:style>
  <w:style w:type="paragraph" w:customStyle="1" w:styleId="NetworkFooter0">
    <w:name w:val="Network Footer"/>
    <w:basedOn w:val="FootnoteText"/>
    <w:link w:val="NetworkFooterChar"/>
    <w:qFormat/>
    <w:rsid w:val="008519F6"/>
    <w:rPr>
      <w:rFonts w:cs="Arial"/>
      <w:sz w:val="16"/>
      <w:szCs w:val="16"/>
      <w:lang w:val="en-US" w:eastAsia="en-US"/>
    </w:rPr>
  </w:style>
  <w:style w:type="paragraph" w:customStyle="1" w:styleId="Networkfooter">
    <w:name w:val="Network footer"/>
    <w:basedOn w:val="NetworkFooter0"/>
    <w:link w:val="NetworkfooterChar0"/>
    <w:qFormat/>
    <w:rsid w:val="008519F6"/>
    <w:rPr>
      <w:color w:val="595959"/>
    </w:rPr>
  </w:style>
  <w:style w:type="character" w:customStyle="1" w:styleId="NetworkFooterChar">
    <w:name w:val="Network Footer Char"/>
    <w:link w:val="NetworkFooter0"/>
    <w:rsid w:val="008519F6"/>
    <w:rPr>
      <w:rFonts w:ascii="Arial" w:hAnsi="Arial" w:cs="Arial"/>
      <w:sz w:val="16"/>
      <w:szCs w:val="16"/>
      <w:lang w:val="en-US" w:eastAsia="en-US"/>
    </w:rPr>
  </w:style>
  <w:style w:type="character" w:customStyle="1" w:styleId="NetworkfooterChar0">
    <w:name w:val="Network footer Char"/>
    <w:link w:val="Networkfooter"/>
    <w:rsid w:val="008519F6"/>
    <w:rPr>
      <w:rFonts w:ascii="Arial" w:hAnsi="Arial" w:cs="Arial"/>
      <w:color w:val="595959"/>
      <w:sz w:val="16"/>
      <w:szCs w:val="16"/>
      <w:lang w:val="en-US" w:eastAsia="en-US"/>
    </w:rPr>
  </w:style>
  <w:style w:type="paragraph" w:customStyle="1" w:styleId="Date2">
    <w:name w:val="Date2"/>
    <w:basedOn w:val="Normal"/>
    <w:rsid w:val="00662004"/>
    <w:pPr>
      <w:spacing w:before="100" w:beforeAutospacing="1" w:after="100" w:afterAutospacing="1" w:line="240" w:lineRule="auto"/>
      <w:jc w:val="left"/>
    </w:pPr>
    <w:rPr>
      <w:rFonts w:ascii="Times New Roman" w:eastAsia="Calibri" w:hAnsi="Times New Roman"/>
      <w:sz w:val="24"/>
      <w:szCs w:val="24"/>
    </w:rPr>
  </w:style>
  <w:style w:type="paragraph" w:customStyle="1" w:styleId="ms-rteelement-p1">
    <w:name w:val="ms-rteelement-p1"/>
    <w:basedOn w:val="Normal"/>
    <w:rsid w:val="00DA0C1D"/>
    <w:pPr>
      <w:spacing w:before="0" w:after="270" w:line="336" w:lineRule="atLeast"/>
      <w:jc w:val="left"/>
    </w:pPr>
    <w:rPr>
      <w:rFonts w:ascii="Times New Roman" w:hAnsi="Times New Roman"/>
      <w:color w:val="576170"/>
      <w:sz w:val="29"/>
      <w:szCs w:val="29"/>
    </w:rPr>
  </w:style>
  <w:style w:type="character" w:customStyle="1" w:styleId="category-electricity2">
    <w:name w:val="category-electricity2"/>
    <w:rsid w:val="00372EA0"/>
    <w:rPr>
      <w:b w:val="0"/>
      <w:bCs w:val="0"/>
      <w:vanish w:val="0"/>
      <w:webHidden w:val="0"/>
      <w:color w:val="E9B100"/>
      <w:specVanish w:val="0"/>
    </w:rPr>
  </w:style>
  <w:style w:type="paragraph" w:customStyle="1" w:styleId="Date3">
    <w:name w:val="Date3"/>
    <w:basedOn w:val="Normal"/>
    <w:rsid w:val="004D08B3"/>
    <w:pPr>
      <w:spacing w:before="100" w:beforeAutospacing="1" w:after="100" w:afterAutospacing="1" w:line="240" w:lineRule="auto"/>
      <w:jc w:val="left"/>
    </w:pPr>
    <w:rPr>
      <w:rFonts w:ascii="Times New Roman" w:eastAsia="Calibri" w:hAnsi="Times New Roman" w:cs="Calibri"/>
      <w:sz w:val="24"/>
      <w:szCs w:val="24"/>
    </w:rPr>
  </w:style>
  <w:style w:type="character" w:customStyle="1" w:styleId="Italic">
    <w:name w:val="Italic"/>
    <w:uiPriority w:val="8"/>
    <w:qFormat/>
    <w:rsid w:val="00FC1051"/>
    <w:rPr>
      <w:i/>
    </w:rPr>
  </w:style>
  <w:style w:type="paragraph" w:customStyle="1" w:styleId="IntroductionIndent">
    <w:name w:val="Introduction Indent"/>
    <w:basedOn w:val="Normal"/>
    <w:uiPriority w:val="4"/>
    <w:qFormat/>
    <w:rsid w:val="00FC1051"/>
    <w:pPr>
      <w:spacing w:line="264" w:lineRule="auto"/>
      <w:ind w:left="851"/>
    </w:pPr>
    <w:rPr>
      <w:rFonts w:ascii="Calibri" w:hAnsi="Calibri"/>
      <w:i/>
      <w:sz w:val="21"/>
      <w:lang w:eastAsia="en-US"/>
    </w:rPr>
  </w:style>
  <w:style w:type="paragraph" w:customStyle="1" w:styleId="Boxedtext">
    <w:name w:val="Boxed text"/>
    <w:basedOn w:val="Normal"/>
    <w:link w:val="BoxedtextChar"/>
    <w:qFormat/>
    <w:rsid w:val="00283099"/>
    <w:pPr>
      <w:pBdr>
        <w:top w:val="single" w:sz="4" w:space="4" w:color="auto"/>
        <w:left w:val="single" w:sz="4" w:space="4" w:color="auto"/>
        <w:bottom w:val="single" w:sz="4" w:space="4" w:color="auto"/>
        <w:right w:val="single" w:sz="4" w:space="4" w:color="auto"/>
      </w:pBdr>
      <w:spacing w:after="0" w:line="240" w:lineRule="auto"/>
      <w:contextualSpacing/>
      <w:jc w:val="left"/>
    </w:pPr>
    <w:rPr>
      <w:rFonts w:eastAsia="Calibri"/>
      <w:lang w:eastAsia="en-US"/>
    </w:rPr>
  </w:style>
  <w:style w:type="character" w:customStyle="1" w:styleId="BoxedtextChar">
    <w:name w:val="Boxed text Char"/>
    <w:link w:val="Boxedtext"/>
    <w:rsid w:val="00283099"/>
    <w:rPr>
      <w:rFonts w:ascii="Arial" w:eastAsia="Calibri" w:hAnsi="Arial"/>
      <w:lang w:eastAsia="en-US"/>
    </w:rPr>
  </w:style>
  <w:style w:type="character" w:customStyle="1" w:styleId="apple-converted-space">
    <w:name w:val="apple-converted-space"/>
    <w:rsid w:val="001769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731353">
      <w:bodyDiv w:val="1"/>
      <w:marLeft w:val="0"/>
      <w:marRight w:val="0"/>
      <w:marTop w:val="0"/>
      <w:marBottom w:val="0"/>
      <w:divBdr>
        <w:top w:val="none" w:sz="0" w:space="0" w:color="auto"/>
        <w:left w:val="none" w:sz="0" w:space="0" w:color="auto"/>
        <w:bottom w:val="none" w:sz="0" w:space="0" w:color="auto"/>
        <w:right w:val="none" w:sz="0" w:space="0" w:color="auto"/>
      </w:divBdr>
      <w:divsChild>
        <w:div w:id="1007170086">
          <w:marLeft w:val="0"/>
          <w:marRight w:val="0"/>
          <w:marTop w:val="0"/>
          <w:marBottom w:val="0"/>
          <w:divBdr>
            <w:top w:val="none" w:sz="0" w:space="0" w:color="auto"/>
            <w:left w:val="none" w:sz="0" w:space="0" w:color="auto"/>
            <w:bottom w:val="none" w:sz="0" w:space="0" w:color="auto"/>
            <w:right w:val="none" w:sz="0" w:space="0" w:color="auto"/>
          </w:divBdr>
          <w:divsChild>
            <w:div w:id="767392158">
              <w:marLeft w:val="0"/>
              <w:marRight w:val="0"/>
              <w:marTop w:val="0"/>
              <w:marBottom w:val="0"/>
              <w:divBdr>
                <w:top w:val="none" w:sz="0" w:space="0" w:color="auto"/>
                <w:left w:val="none" w:sz="0" w:space="0" w:color="auto"/>
                <w:bottom w:val="none" w:sz="0" w:space="0" w:color="auto"/>
                <w:right w:val="none" w:sz="0" w:space="0" w:color="auto"/>
              </w:divBdr>
              <w:divsChild>
                <w:div w:id="663362079">
                  <w:marLeft w:val="0"/>
                  <w:marRight w:val="0"/>
                  <w:marTop w:val="0"/>
                  <w:marBottom w:val="0"/>
                  <w:divBdr>
                    <w:top w:val="none" w:sz="0" w:space="0" w:color="auto"/>
                    <w:left w:val="none" w:sz="0" w:space="0" w:color="auto"/>
                    <w:bottom w:val="none" w:sz="0" w:space="0" w:color="auto"/>
                    <w:right w:val="none" w:sz="0" w:space="0" w:color="auto"/>
                  </w:divBdr>
                  <w:divsChild>
                    <w:div w:id="1361513610">
                      <w:marLeft w:val="0"/>
                      <w:marRight w:val="0"/>
                      <w:marTop w:val="0"/>
                      <w:marBottom w:val="0"/>
                      <w:divBdr>
                        <w:top w:val="none" w:sz="0" w:space="0" w:color="auto"/>
                        <w:left w:val="none" w:sz="0" w:space="0" w:color="auto"/>
                        <w:bottom w:val="none" w:sz="0" w:space="0" w:color="auto"/>
                        <w:right w:val="none" w:sz="0" w:space="0" w:color="auto"/>
                      </w:divBdr>
                      <w:divsChild>
                        <w:div w:id="1799299136">
                          <w:marLeft w:val="0"/>
                          <w:marRight w:val="0"/>
                          <w:marTop w:val="0"/>
                          <w:marBottom w:val="0"/>
                          <w:divBdr>
                            <w:top w:val="none" w:sz="0" w:space="0" w:color="auto"/>
                            <w:left w:val="none" w:sz="0" w:space="0" w:color="auto"/>
                            <w:bottom w:val="none" w:sz="0" w:space="0" w:color="auto"/>
                            <w:right w:val="none" w:sz="0" w:space="0" w:color="auto"/>
                          </w:divBdr>
                          <w:divsChild>
                            <w:div w:id="345061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670226">
      <w:bodyDiv w:val="1"/>
      <w:marLeft w:val="0"/>
      <w:marRight w:val="0"/>
      <w:marTop w:val="0"/>
      <w:marBottom w:val="0"/>
      <w:divBdr>
        <w:top w:val="none" w:sz="0" w:space="0" w:color="auto"/>
        <w:left w:val="none" w:sz="0" w:space="0" w:color="auto"/>
        <w:bottom w:val="none" w:sz="0" w:space="0" w:color="auto"/>
        <w:right w:val="none" w:sz="0" w:space="0" w:color="auto"/>
      </w:divBdr>
      <w:divsChild>
        <w:div w:id="1487355595">
          <w:marLeft w:val="0"/>
          <w:marRight w:val="0"/>
          <w:marTop w:val="0"/>
          <w:marBottom w:val="0"/>
          <w:divBdr>
            <w:top w:val="none" w:sz="0" w:space="0" w:color="auto"/>
            <w:left w:val="none" w:sz="0" w:space="0" w:color="auto"/>
            <w:bottom w:val="none" w:sz="0" w:space="0" w:color="auto"/>
            <w:right w:val="none" w:sz="0" w:space="0" w:color="auto"/>
          </w:divBdr>
          <w:divsChild>
            <w:div w:id="1939831849">
              <w:marLeft w:val="0"/>
              <w:marRight w:val="0"/>
              <w:marTop w:val="0"/>
              <w:marBottom w:val="0"/>
              <w:divBdr>
                <w:top w:val="none" w:sz="0" w:space="0" w:color="auto"/>
                <w:left w:val="none" w:sz="0" w:space="0" w:color="auto"/>
                <w:bottom w:val="none" w:sz="0" w:space="0" w:color="auto"/>
                <w:right w:val="none" w:sz="0" w:space="0" w:color="auto"/>
              </w:divBdr>
              <w:divsChild>
                <w:div w:id="1497842666">
                  <w:marLeft w:val="0"/>
                  <w:marRight w:val="0"/>
                  <w:marTop w:val="0"/>
                  <w:marBottom w:val="0"/>
                  <w:divBdr>
                    <w:top w:val="none" w:sz="0" w:space="0" w:color="auto"/>
                    <w:left w:val="none" w:sz="0" w:space="0" w:color="auto"/>
                    <w:bottom w:val="none" w:sz="0" w:space="0" w:color="auto"/>
                    <w:right w:val="none" w:sz="0" w:space="0" w:color="auto"/>
                  </w:divBdr>
                  <w:divsChild>
                    <w:div w:id="1057047506">
                      <w:marLeft w:val="0"/>
                      <w:marRight w:val="0"/>
                      <w:marTop w:val="0"/>
                      <w:marBottom w:val="0"/>
                      <w:divBdr>
                        <w:top w:val="none" w:sz="0" w:space="0" w:color="auto"/>
                        <w:left w:val="none" w:sz="0" w:space="0" w:color="auto"/>
                        <w:bottom w:val="none" w:sz="0" w:space="0" w:color="auto"/>
                        <w:right w:val="none" w:sz="0" w:space="0" w:color="auto"/>
                      </w:divBdr>
                      <w:divsChild>
                        <w:div w:id="1622154067">
                          <w:marLeft w:val="0"/>
                          <w:marRight w:val="0"/>
                          <w:marTop w:val="0"/>
                          <w:marBottom w:val="0"/>
                          <w:divBdr>
                            <w:top w:val="none" w:sz="0" w:space="0" w:color="auto"/>
                            <w:left w:val="none" w:sz="0" w:space="0" w:color="auto"/>
                            <w:bottom w:val="none" w:sz="0" w:space="0" w:color="auto"/>
                            <w:right w:val="none" w:sz="0" w:space="0" w:color="auto"/>
                          </w:divBdr>
                          <w:divsChild>
                            <w:div w:id="904604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142412">
      <w:bodyDiv w:val="1"/>
      <w:marLeft w:val="0"/>
      <w:marRight w:val="0"/>
      <w:marTop w:val="0"/>
      <w:marBottom w:val="0"/>
      <w:divBdr>
        <w:top w:val="none" w:sz="0" w:space="0" w:color="auto"/>
        <w:left w:val="none" w:sz="0" w:space="0" w:color="auto"/>
        <w:bottom w:val="none" w:sz="0" w:space="0" w:color="auto"/>
        <w:right w:val="none" w:sz="0" w:space="0" w:color="auto"/>
      </w:divBdr>
      <w:divsChild>
        <w:div w:id="93062548">
          <w:marLeft w:val="0"/>
          <w:marRight w:val="0"/>
          <w:marTop w:val="0"/>
          <w:marBottom w:val="0"/>
          <w:divBdr>
            <w:top w:val="none" w:sz="0" w:space="0" w:color="auto"/>
            <w:left w:val="none" w:sz="0" w:space="0" w:color="auto"/>
            <w:bottom w:val="none" w:sz="0" w:space="0" w:color="auto"/>
            <w:right w:val="none" w:sz="0" w:space="0" w:color="auto"/>
          </w:divBdr>
          <w:divsChild>
            <w:div w:id="1659923287">
              <w:marLeft w:val="0"/>
              <w:marRight w:val="0"/>
              <w:marTop w:val="0"/>
              <w:marBottom w:val="0"/>
              <w:divBdr>
                <w:top w:val="none" w:sz="0" w:space="0" w:color="auto"/>
                <w:left w:val="none" w:sz="0" w:space="0" w:color="auto"/>
                <w:bottom w:val="none" w:sz="0" w:space="0" w:color="auto"/>
                <w:right w:val="none" w:sz="0" w:space="0" w:color="auto"/>
              </w:divBdr>
              <w:divsChild>
                <w:div w:id="1139878751">
                  <w:marLeft w:val="0"/>
                  <w:marRight w:val="0"/>
                  <w:marTop w:val="0"/>
                  <w:marBottom w:val="0"/>
                  <w:divBdr>
                    <w:top w:val="none" w:sz="0" w:space="0" w:color="auto"/>
                    <w:left w:val="none" w:sz="0" w:space="0" w:color="auto"/>
                    <w:bottom w:val="none" w:sz="0" w:space="0" w:color="auto"/>
                    <w:right w:val="none" w:sz="0" w:space="0" w:color="auto"/>
                  </w:divBdr>
                  <w:divsChild>
                    <w:div w:id="859047655">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122773321">
      <w:bodyDiv w:val="1"/>
      <w:marLeft w:val="0"/>
      <w:marRight w:val="0"/>
      <w:marTop w:val="0"/>
      <w:marBottom w:val="0"/>
      <w:divBdr>
        <w:top w:val="none" w:sz="0" w:space="0" w:color="auto"/>
        <w:left w:val="none" w:sz="0" w:space="0" w:color="auto"/>
        <w:bottom w:val="none" w:sz="0" w:space="0" w:color="auto"/>
        <w:right w:val="none" w:sz="0" w:space="0" w:color="auto"/>
      </w:divBdr>
      <w:divsChild>
        <w:div w:id="1026756289">
          <w:marLeft w:val="0"/>
          <w:marRight w:val="0"/>
          <w:marTop w:val="0"/>
          <w:marBottom w:val="0"/>
          <w:divBdr>
            <w:top w:val="none" w:sz="0" w:space="0" w:color="auto"/>
            <w:left w:val="none" w:sz="0" w:space="0" w:color="auto"/>
            <w:bottom w:val="none" w:sz="0" w:space="0" w:color="auto"/>
            <w:right w:val="none" w:sz="0" w:space="0" w:color="auto"/>
          </w:divBdr>
          <w:divsChild>
            <w:div w:id="178396924">
              <w:marLeft w:val="0"/>
              <w:marRight w:val="0"/>
              <w:marTop w:val="0"/>
              <w:marBottom w:val="0"/>
              <w:divBdr>
                <w:top w:val="none" w:sz="0" w:space="0" w:color="auto"/>
                <w:left w:val="none" w:sz="0" w:space="0" w:color="auto"/>
                <w:bottom w:val="none" w:sz="0" w:space="0" w:color="auto"/>
                <w:right w:val="none" w:sz="0" w:space="0" w:color="auto"/>
              </w:divBdr>
              <w:divsChild>
                <w:div w:id="66913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36679">
      <w:bodyDiv w:val="1"/>
      <w:marLeft w:val="0"/>
      <w:marRight w:val="0"/>
      <w:marTop w:val="0"/>
      <w:marBottom w:val="0"/>
      <w:divBdr>
        <w:top w:val="none" w:sz="0" w:space="0" w:color="auto"/>
        <w:left w:val="none" w:sz="0" w:space="0" w:color="auto"/>
        <w:bottom w:val="none" w:sz="0" w:space="0" w:color="auto"/>
        <w:right w:val="none" w:sz="0" w:space="0" w:color="auto"/>
      </w:divBdr>
      <w:divsChild>
        <w:div w:id="1960800554">
          <w:marLeft w:val="0"/>
          <w:marRight w:val="0"/>
          <w:marTop w:val="0"/>
          <w:marBottom w:val="0"/>
          <w:divBdr>
            <w:top w:val="none" w:sz="0" w:space="0" w:color="auto"/>
            <w:left w:val="none" w:sz="0" w:space="0" w:color="auto"/>
            <w:bottom w:val="none" w:sz="0" w:space="0" w:color="auto"/>
            <w:right w:val="none" w:sz="0" w:space="0" w:color="auto"/>
          </w:divBdr>
          <w:divsChild>
            <w:div w:id="34275768">
              <w:marLeft w:val="0"/>
              <w:marRight w:val="0"/>
              <w:marTop w:val="0"/>
              <w:marBottom w:val="0"/>
              <w:divBdr>
                <w:top w:val="none" w:sz="0" w:space="0" w:color="auto"/>
                <w:left w:val="none" w:sz="0" w:space="0" w:color="auto"/>
                <w:bottom w:val="none" w:sz="0" w:space="0" w:color="auto"/>
                <w:right w:val="none" w:sz="0" w:space="0" w:color="auto"/>
              </w:divBdr>
              <w:divsChild>
                <w:div w:id="1260720176">
                  <w:marLeft w:val="0"/>
                  <w:marRight w:val="0"/>
                  <w:marTop w:val="0"/>
                  <w:marBottom w:val="0"/>
                  <w:divBdr>
                    <w:top w:val="none" w:sz="0" w:space="0" w:color="auto"/>
                    <w:left w:val="none" w:sz="0" w:space="0" w:color="auto"/>
                    <w:bottom w:val="none" w:sz="0" w:space="0" w:color="auto"/>
                    <w:right w:val="none" w:sz="0" w:space="0" w:color="auto"/>
                  </w:divBdr>
                  <w:divsChild>
                    <w:div w:id="1698041048">
                      <w:marLeft w:val="0"/>
                      <w:marRight w:val="0"/>
                      <w:marTop w:val="0"/>
                      <w:marBottom w:val="0"/>
                      <w:divBdr>
                        <w:top w:val="none" w:sz="0" w:space="0" w:color="auto"/>
                        <w:left w:val="none" w:sz="0" w:space="0" w:color="auto"/>
                        <w:bottom w:val="none" w:sz="0" w:space="0" w:color="auto"/>
                        <w:right w:val="none" w:sz="0" w:space="0" w:color="auto"/>
                      </w:divBdr>
                      <w:divsChild>
                        <w:div w:id="933636528">
                          <w:marLeft w:val="0"/>
                          <w:marRight w:val="0"/>
                          <w:marTop w:val="0"/>
                          <w:marBottom w:val="0"/>
                          <w:divBdr>
                            <w:top w:val="none" w:sz="0" w:space="0" w:color="auto"/>
                            <w:left w:val="none" w:sz="0" w:space="0" w:color="auto"/>
                            <w:bottom w:val="none" w:sz="0" w:space="0" w:color="auto"/>
                            <w:right w:val="none" w:sz="0" w:space="0" w:color="auto"/>
                          </w:divBdr>
                          <w:divsChild>
                            <w:div w:id="37389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8122104">
      <w:bodyDiv w:val="1"/>
      <w:marLeft w:val="0"/>
      <w:marRight w:val="0"/>
      <w:marTop w:val="0"/>
      <w:marBottom w:val="0"/>
      <w:divBdr>
        <w:top w:val="none" w:sz="0" w:space="0" w:color="auto"/>
        <w:left w:val="none" w:sz="0" w:space="0" w:color="auto"/>
        <w:bottom w:val="none" w:sz="0" w:space="0" w:color="auto"/>
        <w:right w:val="none" w:sz="0" w:space="0" w:color="auto"/>
      </w:divBdr>
    </w:div>
    <w:div w:id="331296874">
      <w:bodyDiv w:val="1"/>
      <w:marLeft w:val="0"/>
      <w:marRight w:val="0"/>
      <w:marTop w:val="0"/>
      <w:marBottom w:val="0"/>
      <w:divBdr>
        <w:top w:val="none" w:sz="0" w:space="0" w:color="auto"/>
        <w:left w:val="none" w:sz="0" w:space="0" w:color="auto"/>
        <w:bottom w:val="none" w:sz="0" w:space="0" w:color="auto"/>
        <w:right w:val="none" w:sz="0" w:space="0" w:color="auto"/>
      </w:divBdr>
      <w:divsChild>
        <w:div w:id="2020235401">
          <w:marLeft w:val="0"/>
          <w:marRight w:val="0"/>
          <w:marTop w:val="0"/>
          <w:marBottom w:val="0"/>
          <w:divBdr>
            <w:top w:val="none" w:sz="0" w:space="0" w:color="auto"/>
            <w:left w:val="none" w:sz="0" w:space="0" w:color="auto"/>
            <w:bottom w:val="none" w:sz="0" w:space="0" w:color="auto"/>
            <w:right w:val="none" w:sz="0" w:space="0" w:color="auto"/>
          </w:divBdr>
          <w:divsChild>
            <w:div w:id="2048020435">
              <w:marLeft w:val="0"/>
              <w:marRight w:val="0"/>
              <w:marTop w:val="0"/>
              <w:marBottom w:val="0"/>
              <w:divBdr>
                <w:top w:val="none" w:sz="0" w:space="0" w:color="auto"/>
                <w:left w:val="none" w:sz="0" w:space="0" w:color="auto"/>
                <w:bottom w:val="none" w:sz="0" w:space="0" w:color="auto"/>
                <w:right w:val="none" w:sz="0" w:space="0" w:color="auto"/>
              </w:divBdr>
              <w:divsChild>
                <w:div w:id="301733819">
                  <w:marLeft w:val="0"/>
                  <w:marRight w:val="0"/>
                  <w:marTop w:val="0"/>
                  <w:marBottom w:val="0"/>
                  <w:divBdr>
                    <w:top w:val="none" w:sz="0" w:space="0" w:color="auto"/>
                    <w:left w:val="none" w:sz="0" w:space="0" w:color="auto"/>
                    <w:bottom w:val="none" w:sz="0" w:space="0" w:color="auto"/>
                    <w:right w:val="none" w:sz="0" w:space="0" w:color="auto"/>
                  </w:divBdr>
                  <w:divsChild>
                    <w:div w:id="1689913715">
                      <w:marLeft w:val="0"/>
                      <w:marRight w:val="0"/>
                      <w:marTop w:val="0"/>
                      <w:marBottom w:val="0"/>
                      <w:divBdr>
                        <w:top w:val="none" w:sz="0" w:space="0" w:color="auto"/>
                        <w:left w:val="none" w:sz="0" w:space="0" w:color="auto"/>
                        <w:bottom w:val="none" w:sz="0" w:space="0" w:color="auto"/>
                        <w:right w:val="none" w:sz="0" w:space="0" w:color="auto"/>
                      </w:divBdr>
                      <w:divsChild>
                        <w:div w:id="1403987806">
                          <w:marLeft w:val="0"/>
                          <w:marRight w:val="0"/>
                          <w:marTop w:val="0"/>
                          <w:marBottom w:val="0"/>
                          <w:divBdr>
                            <w:top w:val="none" w:sz="0" w:space="0" w:color="auto"/>
                            <w:left w:val="none" w:sz="0" w:space="0" w:color="auto"/>
                            <w:bottom w:val="none" w:sz="0" w:space="0" w:color="auto"/>
                            <w:right w:val="none" w:sz="0" w:space="0" w:color="auto"/>
                          </w:divBdr>
                          <w:divsChild>
                            <w:div w:id="1417705279">
                              <w:marLeft w:val="0"/>
                              <w:marRight w:val="0"/>
                              <w:marTop w:val="0"/>
                              <w:marBottom w:val="0"/>
                              <w:divBdr>
                                <w:top w:val="none" w:sz="0" w:space="0" w:color="auto"/>
                                <w:left w:val="none" w:sz="0" w:space="0" w:color="auto"/>
                                <w:bottom w:val="none" w:sz="0" w:space="0" w:color="auto"/>
                                <w:right w:val="none" w:sz="0" w:space="0" w:color="auto"/>
                              </w:divBdr>
                              <w:divsChild>
                                <w:div w:id="927352495">
                                  <w:marLeft w:val="4155"/>
                                  <w:marRight w:val="225"/>
                                  <w:marTop w:val="450"/>
                                  <w:marBottom w:val="750"/>
                                  <w:divBdr>
                                    <w:top w:val="none" w:sz="0" w:space="0" w:color="auto"/>
                                    <w:left w:val="none" w:sz="0" w:space="0" w:color="auto"/>
                                    <w:bottom w:val="none" w:sz="0" w:space="0" w:color="auto"/>
                                    <w:right w:val="none" w:sz="0" w:space="0" w:color="auto"/>
                                  </w:divBdr>
                                  <w:divsChild>
                                    <w:div w:id="1644777933">
                                      <w:marLeft w:val="0"/>
                                      <w:marRight w:val="0"/>
                                      <w:marTop w:val="0"/>
                                      <w:marBottom w:val="0"/>
                                      <w:divBdr>
                                        <w:top w:val="none" w:sz="0" w:space="0" w:color="auto"/>
                                        <w:left w:val="none" w:sz="0" w:space="0" w:color="auto"/>
                                        <w:bottom w:val="none" w:sz="0" w:space="0" w:color="auto"/>
                                        <w:right w:val="none" w:sz="0" w:space="0" w:color="auto"/>
                                      </w:divBdr>
                                      <w:divsChild>
                                        <w:div w:id="1258101195">
                                          <w:marLeft w:val="0"/>
                                          <w:marRight w:val="0"/>
                                          <w:marTop w:val="0"/>
                                          <w:marBottom w:val="0"/>
                                          <w:divBdr>
                                            <w:top w:val="none" w:sz="0" w:space="0" w:color="auto"/>
                                            <w:left w:val="none" w:sz="0" w:space="0" w:color="auto"/>
                                            <w:bottom w:val="none" w:sz="0" w:space="0" w:color="auto"/>
                                            <w:right w:val="none" w:sz="0" w:space="0" w:color="auto"/>
                                          </w:divBdr>
                                          <w:divsChild>
                                            <w:div w:id="1375616849">
                                              <w:marLeft w:val="0"/>
                                              <w:marRight w:val="0"/>
                                              <w:marTop w:val="0"/>
                                              <w:marBottom w:val="0"/>
                                              <w:divBdr>
                                                <w:top w:val="none" w:sz="0" w:space="0" w:color="auto"/>
                                                <w:left w:val="none" w:sz="0" w:space="0" w:color="auto"/>
                                                <w:bottom w:val="none" w:sz="0" w:space="0" w:color="auto"/>
                                                <w:right w:val="none" w:sz="0" w:space="0" w:color="auto"/>
                                              </w:divBdr>
                                              <w:divsChild>
                                                <w:div w:id="441460981">
                                                  <w:marLeft w:val="0"/>
                                                  <w:marRight w:val="0"/>
                                                  <w:marTop w:val="0"/>
                                                  <w:marBottom w:val="0"/>
                                                  <w:divBdr>
                                                    <w:top w:val="none" w:sz="0" w:space="0" w:color="auto"/>
                                                    <w:left w:val="none" w:sz="0" w:space="0" w:color="auto"/>
                                                    <w:bottom w:val="none" w:sz="0" w:space="0" w:color="auto"/>
                                                    <w:right w:val="none" w:sz="0" w:space="0" w:color="auto"/>
                                                  </w:divBdr>
                                                  <w:divsChild>
                                                    <w:div w:id="1086921000">
                                                      <w:marLeft w:val="0"/>
                                                      <w:marRight w:val="0"/>
                                                      <w:marTop w:val="0"/>
                                                      <w:marBottom w:val="0"/>
                                                      <w:divBdr>
                                                        <w:top w:val="none" w:sz="0" w:space="0" w:color="auto"/>
                                                        <w:left w:val="none" w:sz="0" w:space="0" w:color="auto"/>
                                                        <w:bottom w:val="none" w:sz="0" w:space="0" w:color="auto"/>
                                                        <w:right w:val="none" w:sz="0" w:space="0" w:color="auto"/>
                                                      </w:divBdr>
                                                      <w:divsChild>
                                                        <w:div w:id="34173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2293946">
      <w:bodyDiv w:val="1"/>
      <w:marLeft w:val="0"/>
      <w:marRight w:val="0"/>
      <w:marTop w:val="0"/>
      <w:marBottom w:val="0"/>
      <w:divBdr>
        <w:top w:val="none" w:sz="0" w:space="0" w:color="auto"/>
        <w:left w:val="none" w:sz="0" w:space="0" w:color="auto"/>
        <w:bottom w:val="none" w:sz="0" w:space="0" w:color="auto"/>
        <w:right w:val="none" w:sz="0" w:space="0" w:color="auto"/>
      </w:divBdr>
      <w:divsChild>
        <w:div w:id="1857303309">
          <w:marLeft w:val="0"/>
          <w:marRight w:val="0"/>
          <w:marTop w:val="0"/>
          <w:marBottom w:val="0"/>
          <w:divBdr>
            <w:top w:val="none" w:sz="0" w:space="0" w:color="auto"/>
            <w:left w:val="none" w:sz="0" w:space="0" w:color="auto"/>
            <w:bottom w:val="none" w:sz="0" w:space="0" w:color="auto"/>
            <w:right w:val="none" w:sz="0" w:space="0" w:color="auto"/>
          </w:divBdr>
          <w:divsChild>
            <w:div w:id="1681353471">
              <w:marLeft w:val="0"/>
              <w:marRight w:val="0"/>
              <w:marTop w:val="0"/>
              <w:marBottom w:val="0"/>
              <w:divBdr>
                <w:top w:val="none" w:sz="0" w:space="0" w:color="auto"/>
                <w:left w:val="none" w:sz="0" w:space="0" w:color="auto"/>
                <w:bottom w:val="none" w:sz="0" w:space="0" w:color="auto"/>
                <w:right w:val="none" w:sz="0" w:space="0" w:color="auto"/>
              </w:divBdr>
              <w:divsChild>
                <w:div w:id="1942637446">
                  <w:marLeft w:val="0"/>
                  <w:marRight w:val="0"/>
                  <w:marTop w:val="0"/>
                  <w:marBottom w:val="0"/>
                  <w:divBdr>
                    <w:top w:val="none" w:sz="0" w:space="0" w:color="auto"/>
                    <w:left w:val="none" w:sz="0" w:space="0" w:color="auto"/>
                    <w:bottom w:val="none" w:sz="0" w:space="0" w:color="auto"/>
                    <w:right w:val="none" w:sz="0" w:space="0" w:color="auto"/>
                  </w:divBdr>
                  <w:divsChild>
                    <w:div w:id="935675421">
                      <w:marLeft w:val="0"/>
                      <w:marRight w:val="0"/>
                      <w:marTop w:val="0"/>
                      <w:marBottom w:val="0"/>
                      <w:divBdr>
                        <w:top w:val="single" w:sz="6" w:space="0" w:color="DCD9D9"/>
                        <w:left w:val="single" w:sz="6" w:space="0" w:color="DCD9D9"/>
                        <w:bottom w:val="single" w:sz="2" w:space="0" w:color="DCD9D9"/>
                        <w:right w:val="single" w:sz="6" w:space="0" w:color="DCD9D9"/>
                      </w:divBdr>
                      <w:divsChild>
                        <w:div w:id="1186140209">
                          <w:marLeft w:val="0"/>
                          <w:marRight w:val="-100"/>
                          <w:marTop w:val="450"/>
                          <w:marBottom w:val="0"/>
                          <w:divBdr>
                            <w:top w:val="none" w:sz="0" w:space="0" w:color="auto"/>
                            <w:left w:val="none" w:sz="0" w:space="0" w:color="auto"/>
                            <w:bottom w:val="none" w:sz="0" w:space="0" w:color="auto"/>
                            <w:right w:val="none" w:sz="0" w:space="0" w:color="auto"/>
                          </w:divBdr>
                          <w:divsChild>
                            <w:div w:id="443043964">
                              <w:marLeft w:val="0"/>
                              <w:marRight w:val="0"/>
                              <w:marTop w:val="0"/>
                              <w:marBottom w:val="0"/>
                              <w:divBdr>
                                <w:top w:val="none" w:sz="0" w:space="0" w:color="auto"/>
                                <w:left w:val="none" w:sz="0" w:space="0" w:color="auto"/>
                                <w:bottom w:val="none" w:sz="0" w:space="0" w:color="auto"/>
                                <w:right w:val="none" w:sz="0" w:space="0" w:color="auto"/>
                              </w:divBdr>
                              <w:divsChild>
                                <w:div w:id="592931635">
                                  <w:marLeft w:val="0"/>
                                  <w:marRight w:val="0"/>
                                  <w:marTop w:val="0"/>
                                  <w:marBottom w:val="0"/>
                                  <w:divBdr>
                                    <w:top w:val="none" w:sz="0" w:space="0" w:color="auto"/>
                                    <w:left w:val="none" w:sz="0" w:space="0" w:color="auto"/>
                                    <w:bottom w:val="none" w:sz="0" w:space="0" w:color="auto"/>
                                    <w:right w:val="none" w:sz="0" w:space="0" w:color="auto"/>
                                  </w:divBdr>
                                  <w:divsChild>
                                    <w:div w:id="1888836302">
                                      <w:marLeft w:val="0"/>
                                      <w:marRight w:val="0"/>
                                      <w:marTop w:val="0"/>
                                      <w:marBottom w:val="0"/>
                                      <w:divBdr>
                                        <w:top w:val="none" w:sz="0" w:space="0" w:color="auto"/>
                                        <w:left w:val="none" w:sz="0" w:space="0" w:color="auto"/>
                                        <w:bottom w:val="none" w:sz="0" w:space="0" w:color="auto"/>
                                        <w:right w:val="none" w:sz="0" w:space="0" w:color="auto"/>
                                      </w:divBdr>
                                      <w:divsChild>
                                        <w:div w:id="2029090260">
                                          <w:marLeft w:val="0"/>
                                          <w:marRight w:val="0"/>
                                          <w:marTop w:val="0"/>
                                          <w:marBottom w:val="360"/>
                                          <w:divBdr>
                                            <w:top w:val="none" w:sz="0" w:space="0" w:color="auto"/>
                                            <w:left w:val="none" w:sz="0" w:space="0" w:color="auto"/>
                                            <w:bottom w:val="none" w:sz="0" w:space="0" w:color="auto"/>
                                            <w:right w:val="none" w:sz="0" w:space="0" w:color="auto"/>
                                          </w:divBdr>
                                          <w:divsChild>
                                            <w:div w:id="1652101544">
                                              <w:marLeft w:val="0"/>
                                              <w:marRight w:val="0"/>
                                              <w:marTop w:val="0"/>
                                              <w:marBottom w:val="0"/>
                                              <w:divBdr>
                                                <w:top w:val="none" w:sz="0" w:space="0" w:color="auto"/>
                                                <w:left w:val="none" w:sz="0" w:space="0" w:color="auto"/>
                                                <w:bottom w:val="none" w:sz="0" w:space="0" w:color="auto"/>
                                                <w:right w:val="none" w:sz="0" w:space="0" w:color="auto"/>
                                              </w:divBdr>
                                              <w:divsChild>
                                                <w:div w:id="1279606941">
                                                  <w:marLeft w:val="0"/>
                                                  <w:marRight w:val="0"/>
                                                  <w:marTop w:val="0"/>
                                                  <w:marBottom w:val="0"/>
                                                  <w:divBdr>
                                                    <w:top w:val="none" w:sz="0" w:space="0" w:color="auto"/>
                                                    <w:left w:val="none" w:sz="0" w:space="0" w:color="auto"/>
                                                    <w:bottom w:val="none" w:sz="0" w:space="0" w:color="auto"/>
                                                    <w:right w:val="none" w:sz="0" w:space="0" w:color="auto"/>
                                                  </w:divBdr>
                                                  <w:divsChild>
                                                    <w:div w:id="829250778">
                                                      <w:marLeft w:val="0"/>
                                                      <w:marRight w:val="0"/>
                                                      <w:marTop w:val="0"/>
                                                      <w:marBottom w:val="0"/>
                                                      <w:divBdr>
                                                        <w:top w:val="none" w:sz="0" w:space="0" w:color="auto"/>
                                                        <w:left w:val="none" w:sz="0" w:space="0" w:color="auto"/>
                                                        <w:bottom w:val="none" w:sz="0" w:space="0" w:color="auto"/>
                                                        <w:right w:val="none" w:sz="0" w:space="0" w:color="auto"/>
                                                      </w:divBdr>
                                                      <w:divsChild>
                                                        <w:div w:id="1220629584">
                                                          <w:marLeft w:val="0"/>
                                                          <w:marRight w:val="0"/>
                                                          <w:marTop w:val="0"/>
                                                          <w:marBottom w:val="0"/>
                                                          <w:divBdr>
                                                            <w:top w:val="none" w:sz="0" w:space="0" w:color="auto"/>
                                                            <w:left w:val="none" w:sz="0" w:space="0" w:color="auto"/>
                                                            <w:bottom w:val="none" w:sz="0" w:space="0" w:color="auto"/>
                                                            <w:right w:val="none" w:sz="0" w:space="0" w:color="auto"/>
                                                          </w:divBdr>
                                                          <w:divsChild>
                                                            <w:div w:id="1954899263">
                                                              <w:marLeft w:val="0"/>
                                                              <w:marRight w:val="0"/>
                                                              <w:marTop w:val="0"/>
                                                              <w:marBottom w:val="0"/>
                                                              <w:divBdr>
                                                                <w:top w:val="none" w:sz="0" w:space="0" w:color="auto"/>
                                                                <w:left w:val="none" w:sz="0" w:space="0" w:color="auto"/>
                                                                <w:bottom w:val="none" w:sz="0" w:space="0" w:color="auto"/>
                                                                <w:right w:val="none" w:sz="0" w:space="0" w:color="auto"/>
                                                              </w:divBdr>
                                                              <w:divsChild>
                                                                <w:div w:id="184295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2530017">
      <w:bodyDiv w:val="1"/>
      <w:marLeft w:val="0"/>
      <w:marRight w:val="0"/>
      <w:marTop w:val="0"/>
      <w:marBottom w:val="0"/>
      <w:divBdr>
        <w:top w:val="none" w:sz="0" w:space="0" w:color="auto"/>
        <w:left w:val="none" w:sz="0" w:space="0" w:color="auto"/>
        <w:bottom w:val="none" w:sz="0" w:space="0" w:color="auto"/>
        <w:right w:val="none" w:sz="0" w:space="0" w:color="auto"/>
      </w:divBdr>
    </w:div>
    <w:div w:id="471800313">
      <w:bodyDiv w:val="1"/>
      <w:marLeft w:val="0"/>
      <w:marRight w:val="0"/>
      <w:marTop w:val="0"/>
      <w:marBottom w:val="0"/>
      <w:divBdr>
        <w:top w:val="none" w:sz="0" w:space="0" w:color="auto"/>
        <w:left w:val="none" w:sz="0" w:space="0" w:color="auto"/>
        <w:bottom w:val="none" w:sz="0" w:space="0" w:color="auto"/>
        <w:right w:val="none" w:sz="0" w:space="0" w:color="auto"/>
      </w:divBdr>
      <w:divsChild>
        <w:div w:id="81881209">
          <w:marLeft w:val="0"/>
          <w:marRight w:val="0"/>
          <w:marTop w:val="0"/>
          <w:marBottom w:val="0"/>
          <w:divBdr>
            <w:top w:val="none" w:sz="0" w:space="0" w:color="auto"/>
            <w:left w:val="none" w:sz="0" w:space="0" w:color="auto"/>
            <w:bottom w:val="none" w:sz="0" w:space="0" w:color="auto"/>
            <w:right w:val="none" w:sz="0" w:space="0" w:color="auto"/>
          </w:divBdr>
          <w:divsChild>
            <w:div w:id="2011833203">
              <w:marLeft w:val="0"/>
              <w:marRight w:val="0"/>
              <w:marTop w:val="0"/>
              <w:marBottom w:val="0"/>
              <w:divBdr>
                <w:top w:val="none" w:sz="0" w:space="0" w:color="auto"/>
                <w:left w:val="none" w:sz="0" w:space="0" w:color="auto"/>
                <w:bottom w:val="none" w:sz="0" w:space="0" w:color="auto"/>
                <w:right w:val="none" w:sz="0" w:space="0" w:color="auto"/>
              </w:divBdr>
              <w:divsChild>
                <w:div w:id="730427183">
                  <w:marLeft w:val="0"/>
                  <w:marRight w:val="0"/>
                  <w:marTop w:val="0"/>
                  <w:marBottom w:val="0"/>
                  <w:divBdr>
                    <w:top w:val="none" w:sz="0" w:space="0" w:color="auto"/>
                    <w:left w:val="none" w:sz="0" w:space="0" w:color="auto"/>
                    <w:bottom w:val="none" w:sz="0" w:space="0" w:color="auto"/>
                    <w:right w:val="none" w:sz="0" w:space="0" w:color="auto"/>
                  </w:divBdr>
                  <w:divsChild>
                    <w:div w:id="53938471">
                      <w:marLeft w:val="0"/>
                      <w:marRight w:val="0"/>
                      <w:marTop w:val="0"/>
                      <w:marBottom w:val="0"/>
                      <w:divBdr>
                        <w:top w:val="single" w:sz="6" w:space="0" w:color="DCD9D9"/>
                        <w:left w:val="single" w:sz="6" w:space="0" w:color="DCD9D9"/>
                        <w:bottom w:val="single" w:sz="2" w:space="0" w:color="DCD9D9"/>
                        <w:right w:val="single" w:sz="6" w:space="0" w:color="DCD9D9"/>
                      </w:divBdr>
                      <w:divsChild>
                        <w:div w:id="182524489">
                          <w:marLeft w:val="0"/>
                          <w:marRight w:val="-100"/>
                          <w:marTop w:val="450"/>
                          <w:marBottom w:val="0"/>
                          <w:divBdr>
                            <w:top w:val="none" w:sz="0" w:space="0" w:color="auto"/>
                            <w:left w:val="none" w:sz="0" w:space="0" w:color="auto"/>
                            <w:bottom w:val="none" w:sz="0" w:space="0" w:color="auto"/>
                            <w:right w:val="none" w:sz="0" w:space="0" w:color="auto"/>
                          </w:divBdr>
                          <w:divsChild>
                            <w:div w:id="1875726605">
                              <w:marLeft w:val="0"/>
                              <w:marRight w:val="0"/>
                              <w:marTop w:val="0"/>
                              <w:marBottom w:val="0"/>
                              <w:divBdr>
                                <w:top w:val="none" w:sz="0" w:space="0" w:color="auto"/>
                                <w:left w:val="none" w:sz="0" w:space="0" w:color="auto"/>
                                <w:bottom w:val="none" w:sz="0" w:space="0" w:color="auto"/>
                                <w:right w:val="none" w:sz="0" w:space="0" w:color="auto"/>
                              </w:divBdr>
                              <w:divsChild>
                                <w:div w:id="1324504383">
                                  <w:marLeft w:val="0"/>
                                  <w:marRight w:val="0"/>
                                  <w:marTop w:val="0"/>
                                  <w:marBottom w:val="0"/>
                                  <w:divBdr>
                                    <w:top w:val="none" w:sz="0" w:space="0" w:color="auto"/>
                                    <w:left w:val="none" w:sz="0" w:space="0" w:color="auto"/>
                                    <w:bottom w:val="none" w:sz="0" w:space="0" w:color="auto"/>
                                    <w:right w:val="none" w:sz="0" w:space="0" w:color="auto"/>
                                  </w:divBdr>
                                  <w:divsChild>
                                    <w:div w:id="1319457743">
                                      <w:marLeft w:val="0"/>
                                      <w:marRight w:val="0"/>
                                      <w:marTop w:val="0"/>
                                      <w:marBottom w:val="0"/>
                                      <w:divBdr>
                                        <w:top w:val="none" w:sz="0" w:space="0" w:color="auto"/>
                                        <w:left w:val="none" w:sz="0" w:space="0" w:color="auto"/>
                                        <w:bottom w:val="none" w:sz="0" w:space="0" w:color="auto"/>
                                        <w:right w:val="none" w:sz="0" w:space="0" w:color="auto"/>
                                      </w:divBdr>
                                      <w:divsChild>
                                        <w:div w:id="137386115">
                                          <w:marLeft w:val="0"/>
                                          <w:marRight w:val="0"/>
                                          <w:marTop w:val="0"/>
                                          <w:marBottom w:val="360"/>
                                          <w:divBdr>
                                            <w:top w:val="none" w:sz="0" w:space="0" w:color="auto"/>
                                            <w:left w:val="none" w:sz="0" w:space="0" w:color="auto"/>
                                            <w:bottom w:val="none" w:sz="0" w:space="0" w:color="auto"/>
                                            <w:right w:val="none" w:sz="0" w:space="0" w:color="auto"/>
                                          </w:divBdr>
                                          <w:divsChild>
                                            <w:div w:id="1238857930">
                                              <w:marLeft w:val="0"/>
                                              <w:marRight w:val="0"/>
                                              <w:marTop w:val="0"/>
                                              <w:marBottom w:val="0"/>
                                              <w:divBdr>
                                                <w:top w:val="none" w:sz="0" w:space="0" w:color="auto"/>
                                                <w:left w:val="none" w:sz="0" w:space="0" w:color="auto"/>
                                                <w:bottom w:val="none" w:sz="0" w:space="0" w:color="auto"/>
                                                <w:right w:val="none" w:sz="0" w:space="0" w:color="auto"/>
                                              </w:divBdr>
                                              <w:divsChild>
                                                <w:div w:id="146820503">
                                                  <w:marLeft w:val="0"/>
                                                  <w:marRight w:val="0"/>
                                                  <w:marTop w:val="0"/>
                                                  <w:marBottom w:val="0"/>
                                                  <w:divBdr>
                                                    <w:top w:val="none" w:sz="0" w:space="0" w:color="auto"/>
                                                    <w:left w:val="none" w:sz="0" w:space="0" w:color="auto"/>
                                                    <w:bottom w:val="none" w:sz="0" w:space="0" w:color="auto"/>
                                                    <w:right w:val="none" w:sz="0" w:space="0" w:color="auto"/>
                                                  </w:divBdr>
                                                  <w:divsChild>
                                                    <w:div w:id="245770079">
                                                      <w:marLeft w:val="0"/>
                                                      <w:marRight w:val="0"/>
                                                      <w:marTop w:val="0"/>
                                                      <w:marBottom w:val="0"/>
                                                      <w:divBdr>
                                                        <w:top w:val="none" w:sz="0" w:space="0" w:color="auto"/>
                                                        <w:left w:val="none" w:sz="0" w:space="0" w:color="auto"/>
                                                        <w:bottom w:val="none" w:sz="0" w:space="0" w:color="auto"/>
                                                        <w:right w:val="none" w:sz="0" w:space="0" w:color="auto"/>
                                                      </w:divBdr>
                                                      <w:divsChild>
                                                        <w:div w:id="1347832097">
                                                          <w:marLeft w:val="0"/>
                                                          <w:marRight w:val="0"/>
                                                          <w:marTop w:val="0"/>
                                                          <w:marBottom w:val="0"/>
                                                          <w:divBdr>
                                                            <w:top w:val="none" w:sz="0" w:space="0" w:color="auto"/>
                                                            <w:left w:val="none" w:sz="0" w:space="0" w:color="auto"/>
                                                            <w:bottom w:val="none" w:sz="0" w:space="0" w:color="auto"/>
                                                            <w:right w:val="none" w:sz="0" w:space="0" w:color="auto"/>
                                                          </w:divBdr>
                                                          <w:divsChild>
                                                            <w:div w:id="1094278486">
                                                              <w:marLeft w:val="0"/>
                                                              <w:marRight w:val="0"/>
                                                              <w:marTop w:val="0"/>
                                                              <w:marBottom w:val="0"/>
                                                              <w:divBdr>
                                                                <w:top w:val="none" w:sz="0" w:space="0" w:color="auto"/>
                                                                <w:left w:val="none" w:sz="0" w:space="0" w:color="auto"/>
                                                                <w:bottom w:val="none" w:sz="0" w:space="0" w:color="auto"/>
                                                                <w:right w:val="none" w:sz="0" w:space="0" w:color="auto"/>
                                                              </w:divBdr>
                                                              <w:divsChild>
                                                                <w:div w:id="677925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75072533">
      <w:bodyDiv w:val="1"/>
      <w:marLeft w:val="0"/>
      <w:marRight w:val="0"/>
      <w:marTop w:val="0"/>
      <w:marBottom w:val="0"/>
      <w:divBdr>
        <w:top w:val="none" w:sz="0" w:space="0" w:color="auto"/>
        <w:left w:val="none" w:sz="0" w:space="0" w:color="auto"/>
        <w:bottom w:val="none" w:sz="0" w:space="0" w:color="auto"/>
        <w:right w:val="none" w:sz="0" w:space="0" w:color="auto"/>
      </w:divBdr>
      <w:divsChild>
        <w:div w:id="801580759">
          <w:marLeft w:val="0"/>
          <w:marRight w:val="0"/>
          <w:marTop w:val="0"/>
          <w:marBottom w:val="0"/>
          <w:divBdr>
            <w:top w:val="none" w:sz="0" w:space="0" w:color="auto"/>
            <w:left w:val="none" w:sz="0" w:space="0" w:color="auto"/>
            <w:bottom w:val="none" w:sz="0" w:space="0" w:color="auto"/>
            <w:right w:val="none" w:sz="0" w:space="0" w:color="auto"/>
          </w:divBdr>
          <w:divsChild>
            <w:div w:id="603730518">
              <w:marLeft w:val="0"/>
              <w:marRight w:val="0"/>
              <w:marTop w:val="0"/>
              <w:marBottom w:val="0"/>
              <w:divBdr>
                <w:top w:val="none" w:sz="0" w:space="0" w:color="auto"/>
                <w:left w:val="none" w:sz="0" w:space="0" w:color="auto"/>
                <w:bottom w:val="none" w:sz="0" w:space="0" w:color="auto"/>
                <w:right w:val="none" w:sz="0" w:space="0" w:color="auto"/>
              </w:divBdr>
              <w:divsChild>
                <w:div w:id="1300064017">
                  <w:marLeft w:val="0"/>
                  <w:marRight w:val="0"/>
                  <w:marTop w:val="0"/>
                  <w:marBottom w:val="0"/>
                  <w:divBdr>
                    <w:top w:val="none" w:sz="0" w:space="0" w:color="auto"/>
                    <w:left w:val="none" w:sz="0" w:space="0" w:color="auto"/>
                    <w:bottom w:val="none" w:sz="0" w:space="0" w:color="auto"/>
                    <w:right w:val="none" w:sz="0" w:space="0" w:color="auto"/>
                  </w:divBdr>
                  <w:divsChild>
                    <w:div w:id="1686709302">
                      <w:marLeft w:val="0"/>
                      <w:marRight w:val="0"/>
                      <w:marTop w:val="0"/>
                      <w:marBottom w:val="0"/>
                      <w:divBdr>
                        <w:top w:val="none" w:sz="0" w:space="0" w:color="auto"/>
                        <w:left w:val="none" w:sz="0" w:space="0" w:color="auto"/>
                        <w:bottom w:val="none" w:sz="0" w:space="0" w:color="auto"/>
                        <w:right w:val="none" w:sz="0" w:space="0" w:color="auto"/>
                      </w:divBdr>
                      <w:divsChild>
                        <w:div w:id="1174997455">
                          <w:marLeft w:val="0"/>
                          <w:marRight w:val="0"/>
                          <w:marTop w:val="0"/>
                          <w:marBottom w:val="0"/>
                          <w:divBdr>
                            <w:top w:val="none" w:sz="0" w:space="0" w:color="auto"/>
                            <w:left w:val="none" w:sz="0" w:space="0" w:color="auto"/>
                            <w:bottom w:val="none" w:sz="0" w:space="0" w:color="auto"/>
                            <w:right w:val="none" w:sz="0" w:space="0" w:color="auto"/>
                          </w:divBdr>
                          <w:divsChild>
                            <w:div w:id="1863130713">
                              <w:marLeft w:val="0"/>
                              <w:marRight w:val="0"/>
                              <w:marTop w:val="0"/>
                              <w:marBottom w:val="0"/>
                              <w:divBdr>
                                <w:top w:val="none" w:sz="0" w:space="0" w:color="auto"/>
                                <w:left w:val="none" w:sz="0" w:space="0" w:color="auto"/>
                                <w:bottom w:val="none" w:sz="0" w:space="0" w:color="auto"/>
                                <w:right w:val="none" w:sz="0" w:space="0" w:color="auto"/>
                              </w:divBdr>
                              <w:divsChild>
                                <w:div w:id="1158574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0461600">
      <w:bodyDiv w:val="1"/>
      <w:marLeft w:val="0"/>
      <w:marRight w:val="0"/>
      <w:marTop w:val="0"/>
      <w:marBottom w:val="0"/>
      <w:divBdr>
        <w:top w:val="none" w:sz="0" w:space="0" w:color="auto"/>
        <w:left w:val="none" w:sz="0" w:space="0" w:color="auto"/>
        <w:bottom w:val="none" w:sz="0" w:space="0" w:color="auto"/>
        <w:right w:val="none" w:sz="0" w:space="0" w:color="auto"/>
      </w:divBdr>
      <w:divsChild>
        <w:div w:id="1988388838">
          <w:marLeft w:val="0"/>
          <w:marRight w:val="0"/>
          <w:marTop w:val="0"/>
          <w:marBottom w:val="0"/>
          <w:divBdr>
            <w:top w:val="none" w:sz="0" w:space="0" w:color="auto"/>
            <w:left w:val="none" w:sz="0" w:space="0" w:color="auto"/>
            <w:bottom w:val="none" w:sz="0" w:space="0" w:color="auto"/>
            <w:right w:val="none" w:sz="0" w:space="0" w:color="auto"/>
          </w:divBdr>
          <w:divsChild>
            <w:div w:id="2169017">
              <w:marLeft w:val="0"/>
              <w:marRight w:val="0"/>
              <w:marTop w:val="0"/>
              <w:marBottom w:val="0"/>
              <w:divBdr>
                <w:top w:val="none" w:sz="0" w:space="0" w:color="auto"/>
                <w:left w:val="none" w:sz="0" w:space="0" w:color="auto"/>
                <w:bottom w:val="none" w:sz="0" w:space="0" w:color="auto"/>
                <w:right w:val="none" w:sz="0" w:space="0" w:color="auto"/>
              </w:divBdr>
              <w:divsChild>
                <w:div w:id="1075009082">
                  <w:marLeft w:val="0"/>
                  <w:marRight w:val="0"/>
                  <w:marTop w:val="0"/>
                  <w:marBottom w:val="0"/>
                  <w:divBdr>
                    <w:top w:val="none" w:sz="0" w:space="0" w:color="auto"/>
                    <w:left w:val="none" w:sz="0" w:space="0" w:color="auto"/>
                    <w:bottom w:val="none" w:sz="0" w:space="0" w:color="auto"/>
                    <w:right w:val="none" w:sz="0" w:space="0" w:color="auto"/>
                  </w:divBdr>
                  <w:divsChild>
                    <w:div w:id="862860683">
                      <w:marLeft w:val="0"/>
                      <w:marRight w:val="0"/>
                      <w:marTop w:val="0"/>
                      <w:marBottom w:val="0"/>
                      <w:divBdr>
                        <w:top w:val="none" w:sz="0" w:space="0" w:color="auto"/>
                        <w:left w:val="none" w:sz="0" w:space="0" w:color="auto"/>
                        <w:bottom w:val="none" w:sz="0" w:space="0" w:color="auto"/>
                        <w:right w:val="none" w:sz="0" w:space="0" w:color="auto"/>
                      </w:divBdr>
                      <w:divsChild>
                        <w:div w:id="1712801551">
                          <w:marLeft w:val="0"/>
                          <w:marRight w:val="0"/>
                          <w:marTop w:val="0"/>
                          <w:marBottom w:val="0"/>
                          <w:divBdr>
                            <w:top w:val="none" w:sz="0" w:space="0" w:color="auto"/>
                            <w:left w:val="none" w:sz="0" w:space="0" w:color="auto"/>
                            <w:bottom w:val="none" w:sz="0" w:space="0" w:color="auto"/>
                            <w:right w:val="none" w:sz="0" w:space="0" w:color="auto"/>
                          </w:divBdr>
                          <w:divsChild>
                            <w:div w:id="1683432820">
                              <w:marLeft w:val="0"/>
                              <w:marRight w:val="0"/>
                              <w:marTop w:val="0"/>
                              <w:marBottom w:val="0"/>
                              <w:divBdr>
                                <w:top w:val="none" w:sz="0" w:space="0" w:color="auto"/>
                                <w:left w:val="none" w:sz="0" w:space="0" w:color="auto"/>
                                <w:bottom w:val="none" w:sz="0" w:space="0" w:color="auto"/>
                                <w:right w:val="none" w:sz="0" w:space="0" w:color="auto"/>
                              </w:divBdr>
                              <w:divsChild>
                                <w:div w:id="1700665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95849116">
      <w:bodyDiv w:val="1"/>
      <w:marLeft w:val="0"/>
      <w:marRight w:val="0"/>
      <w:marTop w:val="0"/>
      <w:marBottom w:val="0"/>
      <w:divBdr>
        <w:top w:val="none" w:sz="0" w:space="0" w:color="auto"/>
        <w:left w:val="none" w:sz="0" w:space="0" w:color="auto"/>
        <w:bottom w:val="none" w:sz="0" w:space="0" w:color="auto"/>
        <w:right w:val="none" w:sz="0" w:space="0" w:color="auto"/>
      </w:divBdr>
      <w:divsChild>
        <w:div w:id="1506631941">
          <w:marLeft w:val="0"/>
          <w:marRight w:val="0"/>
          <w:marTop w:val="0"/>
          <w:marBottom w:val="0"/>
          <w:divBdr>
            <w:top w:val="none" w:sz="0" w:space="0" w:color="auto"/>
            <w:left w:val="none" w:sz="0" w:space="0" w:color="auto"/>
            <w:bottom w:val="none" w:sz="0" w:space="0" w:color="auto"/>
            <w:right w:val="none" w:sz="0" w:space="0" w:color="auto"/>
          </w:divBdr>
          <w:divsChild>
            <w:div w:id="848829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44901">
      <w:bodyDiv w:val="1"/>
      <w:marLeft w:val="0"/>
      <w:marRight w:val="0"/>
      <w:marTop w:val="0"/>
      <w:marBottom w:val="0"/>
      <w:divBdr>
        <w:top w:val="none" w:sz="0" w:space="0" w:color="auto"/>
        <w:left w:val="none" w:sz="0" w:space="0" w:color="auto"/>
        <w:bottom w:val="none" w:sz="0" w:space="0" w:color="auto"/>
        <w:right w:val="none" w:sz="0" w:space="0" w:color="auto"/>
      </w:divBdr>
    </w:div>
    <w:div w:id="526602772">
      <w:bodyDiv w:val="1"/>
      <w:marLeft w:val="0"/>
      <w:marRight w:val="0"/>
      <w:marTop w:val="0"/>
      <w:marBottom w:val="0"/>
      <w:divBdr>
        <w:top w:val="none" w:sz="0" w:space="0" w:color="auto"/>
        <w:left w:val="none" w:sz="0" w:space="0" w:color="auto"/>
        <w:bottom w:val="none" w:sz="0" w:space="0" w:color="auto"/>
        <w:right w:val="none" w:sz="0" w:space="0" w:color="auto"/>
      </w:divBdr>
    </w:div>
    <w:div w:id="544679344">
      <w:bodyDiv w:val="1"/>
      <w:marLeft w:val="0"/>
      <w:marRight w:val="0"/>
      <w:marTop w:val="0"/>
      <w:marBottom w:val="0"/>
      <w:divBdr>
        <w:top w:val="none" w:sz="0" w:space="0" w:color="auto"/>
        <w:left w:val="none" w:sz="0" w:space="0" w:color="auto"/>
        <w:bottom w:val="none" w:sz="0" w:space="0" w:color="auto"/>
        <w:right w:val="none" w:sz="0" w:space="0" w:color="auto"/>
      </w:divBdr>
    </w:div>
    <w:div w:id="557977558">
      <w:bodyDiv w:val="1"/>
      <w:marLeft w:val="0"/>
      <w:marRight w:val="0"/>
      <w:marTop w:val="0"/>
      <w:marBottom w:val="0"/>
      <w:divBdr>
        <w:top w:val="none" w:sz="0" w:space="0" w:color="auto"/>
        <w:left w:val="none" w:sz="0" w:space="0" w:color="auto"/>
        <w:bottom w:val="none" w:sz="0" w:space="0" w:color="auto"/>
        <w:right w:val="none" w:sz="0" w:space="0" w:color="auto"/>
      </w:divBdr>
      <w:divsChild>
        <w:div w:id="1175221027">
          <w:marLeft w:val="0"/>
          <w:marRight w:val="0"/>
          <w:marTop w:val="0"/>
          <w:marBottom w:val="0"/>
          <w:divBdr>
            <w:top w:val="none" w:sz="0" w:space="0" w:color="auto"/>
            <w:left w:val="none" w:sz="0" w:space="0" w:color="auto"/>
            <w:bottom w:val="none" w:sz="0" w:space="0" w:color="auto"/>
            <w:right w:val="none" w:sz="0" w:space="0" w:color="auto"/>
          </w:divBdr>
          <w:divsChild>
            <w:div w:id="1582177847">
              <w:marLeft w:val="0"/>
              <w:marRight w:val="0"/>
              <w:marTop w:val="0"/>
              <w:marBottom w:val="0"/>
              <w:divBdr>
                <w:top w:val="none" w:sz="0" w:space="0" w:color="auto"/>
                <w:left w:val="none" w:sz="0" w:space="0" w:color="auto"/>
                <w:bottom w:val="none" w:sz="0" w:space="0" w:color="auto"/>
                <w:right w:val="none" w:sz="0" w:space="0" w:color="auto"/>
              </w:divBdr>
              <w:divsChild>
                <w:div w:id="587619360">
                  <w:marLeft w:val="0"/>
                  <w:marRight w:val="0"/>
                  <w:marTop w:val="0"/>
                  <w:marBottom w:val="0"/>
                  <w:divBdr>
                    <w:top w:val="none" w:sz="0" w:space="0" w:color="auto"/>
                    <w:left w:val="none" w:sz="0" w:space="0" w:color="auto"/>
                    <w:bottom w:val="none" w:sz="0" w:space="0" w:color="auto"/>
                    <w:right w:val="none" w:sz="0" w:space="0" w:color="auto"/>
                  </w:divBdr>
                  <w:divsChild>
                    <w:div w:id="1779836952">
                      <w:marLeft w:val="0"/>
                      <w:marRight w:val="0"/>
                      <w:marTop w:val="0"/>
                      <w:marBottom w:val="0"/>
                      <w:divBdr>
                        <w:top w:val="single" w:sz="6" w:space="0" w:color="DCD9D9"/>
                        <w:left w:val="single" w:sz="6" w:space="0" w:color="DCD9D9"/>
                        <w:bottom w:val="single" w:sz="2" w:space="0" w:color="DCD9D9"/>
                        <w:right w:val="single" w:sz="6" w:space="0" w:color="DCD9D9"/>
                      </w:divBdr>
                      <w:divsChild>
                        <w:div w:id="565801004">
                          <w:marLeft w:val="0"/>
                          <w:marRight w:val="-100"/>
                          <w:marTop w:val="450"/>
                          <w:marBottom w:val="0"/>
                          <w:divBdr>
                            <w:top w:val="none" w:sz="0" w:space="0" w:color="auto"/>
                            <w:left w:val="none" w:sz="0" w:space="0" w:color="auto"/>
                            <w:bottom w:val="none" w:sz="0" w:space="0" w:color="auto"/>
                            <w:right w:val="none" w:sz="0" w:space="0" w:color="auto"/>
                          </w:divBdr>
                          <w:divsChild>
                            <w:div w:id="1013458100">
                              <w:marLeft w:val="0"/>
                              <w:marRight w:val="0"/>
                              <w:marTop w:val="0"/>
                              <w:marBottom w:val="0"/>
                              <w:divBdr>
                                <w:top w:val="none" w:sz="0" w:space="0" w:color="auto"/>
                                <w:left w:val="none" w:sz="0" w:space="0" w:color="auto"/>
                                <w:bottom w:val="none" w:sz="0" w:space="0" w:color="auto"/>
                                <w:right w:val="none" w:sz="0" w:space="0" w:color="auto"/>
                              </w:divBdr>
                              <w:divsChild>
                                <w:div w:id="1202673201">
                                  <w:marLeft w:val="0"/>
                                  <w:marRight w:val="0"/>
                                  <w:marTop w:val="0"/>
                                  <w:marBottom w:val="0"/>
                                  <w:divBdr>
                                    <w:top w:val="none" w:sz="0" w:space="0" w:color="auto"/>
                                    <w:left w:val="none" w:sz="0" w:space="0" w:color="auto"/>
                                    <w:bottom w:val="none" w:sz="0" w:space="0" w:color="auto"/>
                                    <w:right w:val="none" w:sz="0" w:space="0" w:color="auto"/>
                                  </w:divBdr>
                                  <w:divsChild>
                                    <w:div w:id="441648710">
                                      <w:marLeft w:val="0"/>
                                      <w:marRight w:val="0"/>
                                      <w:marTop w:val="0"/>
                                      <w:marBottom w:val="0"/>
                                      <w:divBdr>
                                        <w:top w:val="none" w:sz="0" w:space="0" w:color="auto"/>
                                        <w:left w:val="none" w:sz="0" w:space="0" w:color="auto"/>
                                        <w:bottom w:val="none" w:sz="0" w:space="0" w:color="auto"/>
                                        <w:right w:val="none" w:sz="0" w:space="0" w:color="auto"/>
                                      </w:divBdr>
                                      <w:divsChild>
                                        <w:div w:id="1768697289">
                                          <w:marLeft w:val="0"/>
                                          <w:marRight w:val="0"/>
                                          <w:marTop w:val="0"/>
                                          <w:marBottom w:val="360"/>
                                          <w:divBdr>
                                            <w:top w:val="none" w:sz="0" w:space="0" w:color="auto"/>
                                            <w:left w:val="none" w:sz="0" w:space="0" w:color="auto"/>
                                            <w:bottom w:val="none" w:sz="0" w:space="0" w:color="auto"/>
                                            <w:right w:val="none" w:sz="0" w:space="0" w:color="auto"/>
                                          </w:divBdr>
                                          <w:divsChild>
                                            <w:div w:id="871191470">
                                              <w:marLeft w:val="0"/>
                                              <w:marRight w:val="0"/>
                                              <w:marTop w:val="0"/>
                                              <w:marBottom w:val="0"/>
                                              <w:divBdr>
                                                <w:top w:val="none" w:sz="0" w:space="0" w:color="auto"/>
                                                <w:left w:val="none" w:sz="0" w:space="0" w:color="auto"/>
                                                <w:bottom w:val="none" w:sz="0" w:space="0" w:color="auto"/>
                                                <w:right w:val="none" w:sz="0" w:space="0" w:color="auto"/>
                                              </w:divBdr>
                                              <w:divsChild>
                                                <w:div w:id="292249658">
                                                  <w:marLeft w:val="0"/>
                                                  <w:marRight w:val="0"/>
                                                  <w:marTop w:val="0"/>
                                                  <w:marBottom w:val="0"/>
                                                  <w:divBdr>
                                                    <w:top w:val="none" w:sz="0" w:space="0" w:color="auto"/>
                                                    <w:left w:val="none" w:sz="0" w:space="0" w:color="auto"/>
                                                    <w:bottom w:val="none" w:sz="0" w:space="0" w:color="auto"/>
                                                    <w:right w:val="none" w:sz="0" w:space="0" w:color="auto"/>
                                                  </w:divBdr>
                                                  <w:divsChild>
                                                    <w:div w:id="1661808617">
                                                      <w:marLeft w:val="0"/>
                                                      <w:marRight w:val="0"/>
                                                      <w:marTop w:val="0"/>
                                                      <w:marBottom w:val="0"/>
                                                      <w:divBdr>
                                                        <w:top w:val="none" w:sz="0" w:space="0" w:color="auto"/>
                                                        <w:left w:val="none" w:sz="0" w:space="0" w:color="auto"/>
                                                        <w:bottom w:val="none" w:sz="0" w:space="0" w:color="auto"/>
                                                        <w:right w:val="none" w:sz="0" w:space="0" w:color="auto"/>
                                                      </w:divBdr>
                                                      <w:divsChild>
                                                        <w:div w:id="1239291488">
                                                          <w:marLeft w:val="0"/>
                                                          <w:marRight w:val="0"/>
                                                          <w:marTop w:val="0"/>
                                                          <w:marBottom w:val="0"/>
                                                          <w:divBdr>
                                                            <w:top w:val="none" w:sz="0" w:space="0" w:color="auto"/>
                                                            <w:left w:val="none" w:sz="0" w:space="0" w:color="auto"/>
                                                            <w:bottom w:val="none" w:sz="0" w:space="0" w:color="auto"/>
                                                            <w:right w:val="none" w:sz="0" w:space="0" w:color="auto"/>
                                                          </w:divBdr>
                                                          <w:divsChild>
                                                            <w:div w:id="163782927">
                                                              <w:marLeft w:val="0"/>
                                                              <w:marRight w:val="0"/>
                                                              <w:marTop w:val="0"/>
                                                              <w:marBottom w:val="0"/>
                                                              <w:divBdr>
                                                                <w:top w:val="none" w:sz="0" w:space="0" w:color="auto"/>
                                                                <w:left w:val="none" w:sz="0" w:space="0" w:color="auto"/>
                                                                <w:bottom w:val="none" w:sz="0" w:space="0" w:color="auto"/>
                                                                <w:right w:val="none" w:sz="0" w:space="0" w:color="auto"/>
                                                              </w:divBdr>
                                                              <w:divsChild>
                                                                <w:div w:id="134370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10358932">
      <w:bodyDiv w:val="1"/>
      <w:marLeft w:val="0"/>
      <w:marRight w:val="0"/>
      <w:marTop w:val="0"/>
      <w:marBottom w:val="0"/>
      <w:divBdr>
        <w:top w:val="none" w:sz="0" w:space="0" w:color="auto"/>
        <w:left w:val="none" w:sz="0" w:space="0" w:color="auto"/>
        <w:bottom w:val="none" w:sz="0" w:space="0" w:color="auto"/>
        <w:right w:val="none" w:sz="0" w:space="0" w:color="auto"/>
      </w:divBdr>
      <w:divsChild>
        <w:div w:id="1416635722">
          <w:marLeft w:val="0"/>
          <w:marRight w:val="0"/>
          <w:marTop w:val="0"/>
          <w:marBottom w:val="0"/>
          <w:divBdr>
            <w:top w:val="none" w:sz="0" w:space="0" w:color="auto"/>
            <w:left w:val="none" w:sz="0" w:space="0" w:color="auto"/>
            <w:bottom w:val="none" w:sz="0" w:space="0" w:color="auto"/>
            <w:right w:val="none" w:sz="0" w:space="0" w:color="auto"/>
          </w:divBdr>
          <w:divsChild>
            <w:div w:id="480267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0987867">
      <w:bodyDiv w:val="1"/>
      <w:marLeft w:val="0"/>
      <w:marRight w:val="0"/>
      <w:marTop w:val="0"/>
      <w:marBottom w:val="0"/>
      <w:divBdr>
        <w:top w:val="none" w:sz="0" w:space="0" w:color="auto"/>
        <w:left w:val="none" w:sz="0" w:space="0" w:color="auto"/>
        <w:bottom w:val="none" w:sz="0" w:space="0" w:color="auto"/>
        <w:right w:val="none" w:sz="0" w:space="0" w:color="auto"/>
      </w:divBdr>
      <w:divsChild>
        <w:div w:id="1237133162">
          <w:marLeft w:val="0"/>
          <w:marRight w:val="0"/>
          <w:marTop w:val="0"/>
          <w:marBottom w:val="0"/>
          <w:divBdr>
            <w:top w:val="none" w:sz="0" w:space="0" w:color="auto"/>
            <w:left w:val="none" w:sz="0" w:space="0" w:color="auto"/>
            <w:bottom w:val="none" w:sz="0" w:space="0" w:color="auto"/>
            <w:right w:val="none" w:sz="0" w:space="0" w:color="auto"/>
          </w:divBdr>
          <w:divsChild>
            <w:div w:id="875700495">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644703925">
      <w:bodyDiv w:val="1"/>
      <w:marLeft w:val="0"/>
      <w:marRight w:val="0"/>
      <w:marTop w:val="0"/>
      <w:marBottom w:val="0"/>
      <w:divBdr>
        <w:top w:val="none" w:sz="0" w:space="0" w:color="auto"/>
        <w:left w:val="none" w:sz="0" w:space="0" w:color="auto"/>
        <w:bottom w:val="none" w:sz="0" w:space="0" w:color="auto"/>
        <w:right w:val="none" w:sz="0" w:space="0" w:color="auto"/>
      </w:divBdr>
      <w:divsChild>
        <w:div w:id="1489639453">
          <w:marLeft w:val="0"/>
          <w:marRight w:val="0"/>
          <w:marTop w:val="0"/>
          <w:marBottom w:val="0"/>
          <w:divBdr>
            <w:top w:val="none" w:sz="0" w:space="0" w:color="auto"/>
            <w:left w:val="none" w:sz="0" w:space="0" w:color="auto"/>
            <w:bottom w:val="none" w:sz="0" w:space="0" w:color="auto"/>
            <w:right w:val="none" w:sz="0" w:space="0" w:color="auto"/>
          </w:divBdr>
          <w:divsChild>
            <w:div w:id="306858552">
              <w:marLeft w:val="0"/>
              <w:marRight w:val="0"/>
              <w:marTop w:val="0"/>
              <w:marBottom w:val="0"/>
              <w:divBdr>
                <w:top w:val="none" w:sz="0" w:space="0" w:color="auto"/>
                <w:left w:val="none" w:sz="0" w:space="0" w:color="auto"/>
                <w:bottom w:val="none" w:sz="0" w:space="0" w:color="auto"/>
                <w:right w:val="none" w:sz="0" w:space="0" w:color="auto"/>
              </w:divBdr>
              <w:divsChild>
                <w:div w:id="563612680">
                  <w:marLeft w:val="0"/>
                  <w:marRight w:val="0"/>
                  <w:marTop w:val="0"/>
                  <w:marBottom w:val="0"/>
                  <w:divBdr>
                    <w:top w:val="none" w:sz="0" w:space="0" w:color="auto"/>
                    <w:left w:val="none" w:sz="0" w:space="0" w:color="auto"/>
                    <w:bottom w:val="none" w:sz="0" w:space="0" w:color="auto"/>
                    <w:right w:val="none" w:sz="0" w:space="0" w:color="auto"/>
                  </w:divBdr>
                  <w:divsChild>
                    <w:div w:id="1600990072">
                      <w:marLeft w:val="0"/>
                      <w:marRight w:val="0"/>
                      <w:marTop w:val="0"/>
                      <w:marBottom w:val="0"/>
                      <w:divBdr>
                        <w:top w:val="single" w:sz="6" w:space="10" w:color="DAE2EA"/>
                        <w:left w:val="none" w:sz="0" w:space="0" w:color="auto"/>
                        <w:bottom w:val="none" w:sz="0" w:space="0" w:color="auto"/>
                        <w:right w:val="none" w:sz="0" w:space="0" w:color="auto"/>
                      </w:divBdr>
                    </w:div>
                  </w:divsChild>
                </w:div>
              </w:divsChild>
            </w:div>
          </w:divsChild>
        </w:div>
      </w:divsChild>
    </w:div>
    <w:div w:id="725646342">
      <w:bodyDiv w:val="1"/>
      <w:marLeft w:val="0"/>
      <w:marRight w:val="0"/>
      <w:marTop w:val="0"/>
      <w:marBottom w:val="0"/>
      <w:divBdr>
        <w:top w:val="none" w:sz="0" w:space="0" w:color="auto"/>
        <w:left w:val="none" w:sz="0" w:space="0" w:color="auto"/>
        <w:bottom w:val="none" w:sz="0" w:space="0" w:color="auto"/>
        <w:right w:val="none" w:sz="0" w:space="0" w:color="auto"/>
      </w:divBdr>
      <w:divsChild>
        <w:div w:id="1817406309">
          <w:marLeft w:val="0"/>
          <w:marRight w:val="0"/>
          <w:marTop w:val="0"/>
          <w:marBottom w:val="0"/>
          <w:divBdr>
            <w:top w:val="none" w:sz="0" w:space="0" w:color="auto"/>
            <w:left w:val="none" w:sz="0" w:space="0" w:color="auto"/>
            <w:bottom w:val="none" w:sz="0" w:space="0" w:color="auto"/>
            <w:right w:val="none" w:sz="0" w:space="0" w:color="auto"/>
          </w:divBdr>
          <w:divsChild>
            <w:div w:id="800147667">
              <w:marLeft w:val="0"/>
              <w:marRight w:val="0"/>
              <w:marTop w:val="0"/>
              <w:marBottom w:val="0"/>
              <w:divBdr>
                <w:top w:val="none" w:sz="0" w:space="0" w:color="auto"/>
                <w:left w:val="none" w:sz="0" w:space="0" w:color="auto"/>
                <w:bottom w:val="none" w:sz="0" w:space="0" w:color="auto"/>
                <w:right w:val="none" w:sz="0" w:space="0" w:color="auto"/>
              </w:divBdr>
              <w:divsChild>
                <w:div w:id="806632687">
                  <w:marLeft w:val="0"/>
                  <w:marRight w:val="0"/>
                  <w:marTop w:val="0"/>
                  <w:marBottom w:val="0"/>
                  <w:divBdr>
                    <w:top w:val="none" w:sz="0" w:space="0" w:color="auto"/>
                    <w:left w:val="none" w:sz="0" w:space="0" w:color="auto"/>
                    <w:bottom w:val="none" w:sz="0" w:space="0" w:color="auto"/>
                    <w:right w:val="none" w:sz="0" w:space="0" w:color="auto"/>
                  </w:divBdr>
                  <w:divsChild>
                    <w:div w:id="1427799327">
                      <w:marLeft w:val="0"/>
                      <w:marRight w:val="0"/>
                      <w:marTop w:val="0"/>
                      <w:marBottom w:val="0"/>
                      <w:divBdr>
                        <w:top w:val="none" w:sz="0" w:space="0" w:color="auto"/>
                        <w:left w:val="none" w:sz="0" w:space="0" w:color="auto"/>
                        <w:bottom w:val="none" w:sz="0" w:space="0" w:color="auto"/>
                        <w:right w:val="none" w:sz="0" w:space="0" w:color="auto"/>
                      </w:divBdr>
                      <w:divsChild>
                        <w:div w:id="636031593">
                          <w:marLeft w:val="0"/>
                          <w:marRight w:val="0"/>
                          <w:marTop w:val="0"/>
                          <w:marBottom w:val="0"/>
                          <w:divBdr>
                            <w:top w:val="none" w:sz="0" w:space="0" w:color="auto"/>
                            <w:left w:val="none" w:sz="0" w:space="0" w:color="auto"/>
                            <w:bottom w:val="none" w:sz="0" w:space="0" w:color="auto"/>
                            <w:right w:val="none" w:sz="0" w:space="0" w:color="auto"/>
                          </w:divBdr>
                          <w:divsChild>
                            <w:div w:id="221332626">
                              <w:marLeft w:val="0"/>
                              <w:marRight w:val="0"/>
                              <w:marTop w:val="0"/>
                              <w:marBottom w:val="0"/>
                              <w:divBdr>
                                <w:top w:val="none" w:sz="0" w:space="0" w:color="auto"/>
                                <w:left w:val="none" w:sz="0" w:space="0" w:color="auto"/>
                                <w:bottom w:val="none" w:sz="0" w:space="0" w:color="auto"/>
                                <w:right w:val="none" w:sz="0" w:space="0" w:color="auto"/>
                              </w:divBdr>
                              <w:divsChild>
                                <w:div w:id="1458909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77263538">
      <w:bodyDiv w:val="1"/>
      <w:marLeft w:val="0"/>
      <w:marRight w:val="0"/>
      <w:marTop w:val="0"/>
      <w:marBottom w:val="0"/>
      <w:divBdr>
        <w:top w:val="none" w:sz="0" w:space="0" w:color="auto"/>
        <w:left w:val="none" w:sz="0" w:space="0" w:color="auto"/>
        <w:bottom w:val="none" w:sz="0" w:space="0" w:color="auto"/>
        <w:right w:val="none" w:sz="0" w:space="0" w:color="auto"/>
      </w:divBdr>
    </w:div>
    <w:div w:id="778109156">
      <w:bodyDiv w:val="1"/>
      <w:marLeft w:val="0"/>
      <w:marRight w:val="0"/>
      <w:marTop w:val="0"/>
      <w:marBottom w:val="0"/>
      <w:divBdr>
        <w:top w:val="none" w:sz="0" w:space="0" w:color="auto"/>
        <w:left w:val="none" w:sz="0" w:space="0" w:color="auto"/>
        <w:bottom w:val="none" w:sz="0" w:space="0" w:color="auto"/>
        <w:right w:val="none" w:sz="0" w:space="0" w:color="auto"/>
      </w:divBdr>
      <w:divsChild>
        <w:div w:id="1329863326">
          <w:marLeft w:val="0"/>
          <w:marRight w:val="0"/>
          <w:marTop w:val="0"/>
          <w:marBottom w:val="0"/>
          <w:divBdr>
            <w:top w:val="none" w:sz="0" w:space="0" w:color="auto"/>
            <w:left w:val="none" w:sz="0" w:space="0" w:color="auto"/>
            <w:bottom w:val="none" w:sz="0" w:space="0" w:color="auto"/>
            <w:right w:val="none" w:sz="0" w:space="0" w:color="auto"/>
          </w:divBdr>
          <w:divsChild>
            <w:div w:id="1661081994">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785660269">
      <w:bodyDiv w:val="1"/>
      <w:marLeft w:val="0"/>
      <w:marRight w:val="0"/>
      <w:marTop w:val="0"/>
      <w:marBottom w:val="0"/>
      <w:divBdr>
        <w:top w:val="none" w:sz="0" w:space="0" w:color="auto"/>
        <w:left w:val="none" w:sz="0" w:space="0" w:color="auto"/>
        <w:bottom w:val="none" w:sz="0" w:space="0" w:color="auto"/>
        <w:right w:val="none" w:sz="0" w:space="0" w:color="auto"/>
      </w:divBdr>
      <w:divsChild>
        <w:div w:id="1091968520">
          <w:marLeft w:val="0"/>
          <w:marRight w:val="0"/>
          <w:marTop w:val="0"/>
          <w:marBottom w:val="0"/>
          <w:divBdr>
            <w:top w:val="none" w:sz="0" w:space="0" w:color="auto"/>
            <w:left w:val="none" w:sz="0" w:space="0" w:color="auto"/>
            <w:bottom w:val="none" w:sz="0" w:space="0" w:color="auto"/>
            <w:right w:val="none" w:sz="0" w:space="0" w:color="auto"/>
          </w:divBdr>
          <w:divsChild>
            <w:div w:id="2104183945">
              <w:marLeft w:val="0"/>
              <w:marRight w:val="0"/>
              <w:marTop w:val="0"/>
              <w:marBottom w:val="0"/>
              <w:divBdr>
                <w:top w:val="none" w:sz="0" w:space="0" w:color="auto"/>
                <w:left w:val="none" w:sz="0" w:space="0" w:color="auto"/>
                <w:bottom w:val="none" w:sz="0" w:space="0" w:color="auto"/>
                <w:right w:val="none" w:sz="0" w:space="0" w:color="auto"/>
              </w:divBdr>
              <w:divsChild>
                <w:div w:id="1145465780">
                  <w:marLeft w:val="0"/>
                  <w:marRight w:val="0"/>
                  <w:marTop w:val="0"/>
                  <w:marBottom w:val="0"/>
                  <w:divBdr>
                    <w:top w:val="none" w:sz="0" w:space="0" w:color="auto"/>
                    <w:left w:val="none" w:sz="0" w:space="0" w:color="auto"/>
                    <w:bottom w:val="none" w:sz="0" w:space="0" w:color="auto"/>
                    <w:right w:val="none" w:sz="0" w:space="0" w:color="auto"/>
                  </w:divBdr>
                  <w:divsChild>
                    <w:div w:id="1906600352">
                      <w:marLeft w:val="0"/>
                      <w:marRight w:val="0"/>
                      <w:marTop w:val="0"/>
                      <w:marBottom w:val="0"/>
                      <w:divBdr>
                        <w:top w:val="none" w:sz="0" w:space="0" w:color="auto"/>
                        <w:left w:val="none" w:sz="0" w:space="0" w:color="auto"/>
                        <w:bottom w:val="none" w:sz="0" w:space="0" w:color="auto"/>
                        <w:right w:val="none" w:sz="0" w:space="0" w:color="auto"/>
                      </w:divBdr>
                      <w:divsChild>
                        <w:div w:id="407074767">
                          <w:marLeft w:val="0"/>
                          <w:marRight w:val="0"/>
                          <w:marTop w:val="0"/>
                          <w:marBottom w:val="0"/>
                          <w:divBdr>
                            <w:top w:val="none" w:sz="0" w:space="0" w:color="auto"/>
                            <w:left w:val="none" w:sz="0" w:space="0" w:color="auto"/>
                            <w:bottom w:val="none" w:sz="0" w:space="0" w:color="auto"/>
                            <w:right w:val="none" w:sz="0" w:space="0" w:color="auto"/>
                          </w:divBdr>
                          <w:divsChild>
                            <w:div w:id="1747990709">
                              <w:marLeft w:val="0"/>
                              <w:marRight w:val="0"/>
                              <w:marTop w:val="0"/>
                              <w:marBottom w:val="0"/>
                              <w:divBdr>
                                <w:top w:val="none" w:sz="0" w:space="0" w:color="auto"/>
                                <w:left w:val="none" w:sz="0" w:space="0" w:color="auto"/>
                                <w:bottom w:val="none" w:sz="0" w:space="0" w:color="auto"/>
                                <w:right w:val="none" w:sz="0" w:space="0" w:color="auto"/>
                              </w:divBdr>
                              <w:divsChild>
                                <w:div w:id="572160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54416440">
      <w:bodyDiv w:val="1"/>
      <w:marLeft w:val="0"/>
      <w:marRight w:val="0"/>
      <w:marTop w:val="0"/>
      <w:marBottom w:val="0"/>
      <w:divBdr>
        <w:top w:val="none" w:sz="0" w:space="0" w:color="auto"/>
        <w:left w:val="none" w:sz="0" w:space="0" w:color="auto"/>
        <w:bottom w:val="none" w:sz="0" w:space="0" w:color="auto"/>
        <w:right w:val="none" w:sz="0" w:space="0" w:color="auto"/>
      </w:divBdr>
    </w:div>
    <w:div w:id="883449309">
      <w:bodyDiv w:val="1"/>
      <w:marLeft w:val="0"/>
      <w:marRight w:val="0"/>
      <w:marTop w:val="0"/>
      <w:marBottom w:val="0"/>
      <w:divBdr>
        <w:top w:val="none" w:sz="0" w:space="0" w:color="auto"/>
        <w:left w:val="none" w:sz="0" w:space="0" w:color="auto"/>
        <w:bottom w:val="none" w:sz="0" w:space="0" w:color="auto"/>
        <w:right w:val="none" w:sz="0" w:space="0" w:color="auto"/>
      </w:divBdr>
    </w:div>
    <w:div w:id="971133224">
      <w:bodyDiv w:val="1"/>
      <w:marLeft w:val="0"/>
      <w:marRight w:val="0"/>
      <w:marTop w:val="0"/>
      <w:marBottom w:val="0"/>
      <w:divBdr>
        <w:top w:val="none" w:sz="0" w:space="0" w:color="auto"/>
        <w:left w:val="none" w:sz="0" w:space="0" w:color="auto"/>
        <w:bottom w:val="none" w:sz="0" w:space="0" w:color="auto"/>
        <w:right w:val="none" w:sz="0" w:space="0" w:color="auto"/>
      </w:divBdr>
      <w:divsChild>
        <w:div w:id="1974485705">
          <w:marLeft w:val="0"/>
          <w:marRight w:val="0"/>
          <w:marTop w:val="0"/>
          <w:marBottom w:val="0"/>
          <w:divBdr>
            <w:top w:val="none" w:sz="0" w:space="0" w:color="auto"/>
            <w:left w:val="none" w:sz="0" w:space="0" w:color="auto"/>
            <w:bottom w:val="none" w:sz="0" w:space="0" w:color="auto"/>
            <w:right w:val="none" w:sz="0" w:space="0" w:color="auto"/>
          </w:divBdr>
          <w:divsChild>
            <w:div w:id="2039114682">
              <w:marLeft w:val="0"/>
              <w:marRight w:val="0"/>
              <w:marTop w:val="0"/>
              <w:marBottom w:val="0"/>
              <w:divBdr>
                <w:top w:val="none" w:sz="0" w:space="0" w:color="auto"/>
                <w:left w:val="none" w:sz="0" w:space="0" w:color="auto"/>
                <w:bottom w:val="none" w:sz="0" w:space="0" w:color="auto"/>
                <w:right w:val="none" w:sz="0" w:space="0" w:color="auto"/>
              </w:divBdr>
              <w:divsChild>
                <w:div w:id="1214392603">
                  <w:marLeft w:val="0"/>
                  <w:marRight w:val="0"/>
                  <w:marTop w:val="0"/>
                  <w:marBottom w:val="0"/>
                  <w:divBdr>
                    <w:top w:val="none" w:sz="0" w:space="0" w:color="auto"/>
                    <w:left w:val="none" w:sz="0" w:space="0" w:color="auto"/>
                    <w:bottom w:val="none" w:sz="0" w:space="0" w:color="auto"/>
                    <w:right w:val="none" w:sz="0" w:space="0" w:color="auto"/>
                  </w:divBdr>
                  <w:divsChild>
                    <w:div w:id="1922830829">
                      <w:marLeft w:val="0"/>
                      <w:marRight w:val="0"/>
                      <w:marTop w:val="0"/>
                      <w:marBottom w:val="0"/>
                      <w:divBdr>
                        <w:top w:val="single" w:sz="6" w:space="0" w:color="DCD9D9"/>
                        <w:left w:val="single" w:sz="6" w:space="0" w:color="DCD9D9"/>
                        <w:bottom w:val="single" w:sz="2" w:space="0" w:color="DCD9D9"/>
                        <w:right w:val="single" w:sz="6" w:space="0" w:color="DCD9D9"/>
                      </w:divBdr>
                      <w:divsChild>
                        <w:div w:id="1215777643">
                          <w:marLeft w:val="0"/>
                          <w:marRight w:val="-100"/>
                          <w:marTop w:val="450"/>
                          <w:marBottom w:val="0"/>
                          <w:divBdr>
                            <w:top w:val="none" w:sz="0" w:space="0" w:color="auto"/>
                            <w:left w:val="none" w:sz="0" w:space="0" w:color="auto"/>
                            <w:bottom w:val="none" w:sz="0" w:space="0" w:color="auto"/>
                            <w:right w:val="none" w:sz="0" w:space="0" w:color="auto"/>
                          </w:divBdr>
                          <w:divsChild>
                            <w:div w:id="798570502">
                              <w:marLeft w:val="0"/>
                              <w:marRight w:val="0"/>
                              <w:marTop w:val="0"/>
                              <w:marBottom w:val="0"/>
                              <w:divBdr>
                                <w:top w:val="none" w:sz="0" w:space="0" w:color="auto"/>
                                <w:left w:val="none" w:sz="0" w:space="0" w:color="auto"/>
                                <w:bottom w:val="none" w:sz="0" w:space="0" w:color="auto"/>
                                <w:right w:val="none" w:sz="0" w:space="0" w:color="auto"/>
                              </w:divBdr>
                              <w:divsChild>
                                <w:div w:id="504707768">
                                  <w:marLeft w:val="0"/>
                                  <w:marRight w:val="0"/>
                                  <w:marTop w:val="0"/>
                                  <w:marBottom w:val="0"/>
                                  <w:divBdr>
                                    <w:top w:val="none" w:sz="0" w:space="0" w:color="auto"/>
                                    <w:left w:val="none" w:sz="0" w:space="0" w:color="auto"/>
                                    <w:bottom w:val="none" w:sz="0" w:space="0" w:color="auto"/>
                                    <w:right w:val="none" w:sz="0" w:space="0" w:color="auto"/>
                                  </w:divBdr>
                                  <w:divsChild>
                                    <w:div w:id="2043969125">
                                      <w:marLeft w:val="0"/>
                                      <w:marRight w:val="0"/>
                                      <w:marTop w:val="0"/>
                                      <w:marBottom w:val="0"/>
                                      <w:divBdr>
                                        <w:top w:val="none" w:sz="0" w:space="0" w:color="auto"/>
                                        <w:left w:val="none" w:sz="0" w:space="0" w:color="auto"/>
                                        <w:bottom w:val="none" w:sz="0" w:space="0" w:color="auto"/>
                                        <w:right w:val="none" w:sz="0" w:space="0" w:color="auto"/>
                                      </w:divBdr>
                                      <w:divsChild>
                                        <w:div w:id="1991251926">
                                          <w:marLeft w:val="0"/>
                                          <w:marRight w:val="0"/>
                                          <w:marTop w:val="0"/>
                                          <w:marBottom w:val="360"/>
                                          <w:divBdr>
                                            <w:top w:val="none" w:sz="0" w:space="0" w:color="auto"/>
                                            <w:left w:val="none" w:sz="0" w:space="0" w:color="auto"/>
                                            <w:bottom w:val="none" w:sz="0" w:space="0" w:color="auto"/>
                                            <w:right w:val="none" w:sz="0" w:space="0" w:color="auto"/>
                                          </w:divBdr>
                                          <w:divsChild>
                                            <w:div w:id="1394500097">
                                              <w:marLeft w:val="0"/>
                                              <w:marRight w:val="0"/>
                                              <w:marTop w:val="0"/>
                                              <w:marBottom w:val="0"/>
                                              <w:divBdr>
                                                <w:top w:val="none" w:sz="0" w:space="0" w:color="auto"/>
                                                <w:left w:val="none" w:sz="0" w:space="0" w:color="auto"/>
                                                <w:bottom w:val="none" w:sz="0" w:space="0" w:color="auto"/>
                                                <w:right w:val="none" w:sz="0" w:space="0" w:color="auto"/>
                                              </w:divBdr>
                                              <w:divsChild>
                                                <w:div w:id="994725816">
                                                  <w:marLeft w:val="0"/>
                                                  <w:marRight w:val="0"/>
                                                  <w:marTop w:val="0"/>
                                                  <w:marBottom w:val="0"/>
                                                  <w:divBdr>
                                                    <w:top w:val="none" w:sz="0" w:space="0" w:color="auto"/>
                                                    <w:left w:val="none" w:sz="0" w:space="0" w:color="auto"/>
                                                    <w:bottom w:val="none" w:sz="0" w:space="0" w:color="auto"/>
                                                    <w:right w:val="none" w:sz="0" w:space="0" w:color="auto"/>
                                                  </w:divBdr>
                                                  <w:divsChild>
                                                    <w:div w:id="2057389039">
                                                      <w:marLeft w:val="0"/>
                                                      <w:marRight w:val="0"/>
                                                      <w:marTop w:val="0"/>
                                                      <w:marBottom w:val="0"/>
                                                      <w:divBdr>
                                                        <w:top w:val="none" w:sz="0" w:space="0" w:color="auto"/>
                                                        <w:left w:val="none" w:sz="0" w:space="0" w:color="auto"/>
                                                        <w:bottom w:val="none" w:sz="0" w:space="0" w:color="auto"/>
                                                        <w:right w:val="none" w:sz="0" w:space="0" w:color="auto"/>
                                                      </w:divBdr>
                                                      <w:divsChild>
                                                        <w:div w:id="197090454">
                                                          <w:marLeft w:val="0"/>
                                                          <w:marRight w:val="0"/>
                                                          <w:marTop w:val="0"/>
                                                          <w:marBottom w:val="0"/>
                                                          <w:divBdr>
                                                            <w:top w:val="none" w:sz="0" w:space="0" w:color="auto"/>
                                                            <w:left w:val="none" w:sz="0" w:space="0" w:color="auto"/>
                                                            <w:bottom w:val="none" w:sz="0" w:space="0" w:color="auto"/>
                                                            <w:right w:val="none" w:sz="0" w:space="0" w:color="auto"/>
                                                          </w:divBdr>
                                                          <w:divsChild>
                                                            <w:div w:id="1500806463">
                                                              <w:marLeft w:val="0"/>
                                                              <w:marRight w:val="0"/>
                                                              <w:marTop w:val="0"/>
                                                              <w:marBottom w:val="0"/>
                                                              <w:divBdr>
                                                                <w:top w:val="none" w:sz="0" w:space="0" w:color="auto"/>
                                                                <w:left w:val="none" w:sz="0" w:space="0" w:color="auto"/>
                                                                <w:bottom w:val="none" w:sz="0" w:space="0" w:color="auto"/>
                                                                <w:right w:val="none" w:sz="0" w:space="0" w:color="auto"/>
                                                              </w:divBdr>
                                                              <w:divsChild>
                                                                <w:div w:id="202666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77302800">
      <w:bodyDiv w:val="1"/>
      <w:marLeft w:val="0"/>
      <w:marRight w:val="0"/>
      <w:marTop w:val="0"/>
      <w:marBottom w:val="0"/>
      <w:divBdr>
        <w:top w:val="none" w:sz="0" w:space="0" w:color="auto"/>
        <w:left w:val="none" w:sz="0" w:space="0" w:color="auto"/>
        <w:bottom w:val="none" w:sz="0" w:space="0" w:color="auto"/>
        <w:right w:val="none" w:sz="0" w:space="0" w:color="auto"/>
      </w:divBdr>
      <w:divsChild>
        <w:div w:id="993987840">
          <w:marLeft w:val="0"/>
          <w:marRight w:val="0"/>
          <w:marTop w:val="0"/>
          <w:marBottom w:val="0"/>
          <w:divBdr>
            <w:top w:val="none" w:sz="0" w:space="0" w:color="auto"/>
            <w:left w:val="none" w:sz="0" w:space="0" w:color="auto"/>
            <w:bottom w:val="none" w:sz="0" w:space="0" w:color="auto"/>
            <w:right w:val="none" w:sz="0" w:space="0" w:color="auto"/>
          </w:divBdr>
          <w:divsChild>
            <w:div w:id="1460033113">
              <w:marLeft w:val="0"/>
              <w:marRight w:val="0"/>
              <w:marTop w:val="0"/>
              <w:marBottom w:val="0"/>
              <w:divBdr>
                <w:top w:val="none" w:sz="0" w:space="0" w:color="auto"/>
                <w:left w:val="none" w:sz="0" w:space="0" w:color="auto"/>
                <w:bottom w:val="none" w:sz="0" w:space="0" w:color="auto"/>
                <w:right w:val="none" w:sz="0" w:space="0" w:color="auto"/>
              </w:divBdr>
              <w:divsChild>
                <w:div w:id="1161699389">
                  <w:marLeft w:val="0"/>
                  <w:marRight w:val="0"/>
                  <w:marTop w:val="0"/>
                  <w:marBottom w:val="0"/>
                  <w:divBdr>
                    <w:top w:val="none" w:sz="0" w:space="0" w:color="auto"/>
                    <w:left w:val="none" w:sz="0" w:space="0" w:color="auto"/>
                    <w:bottom w:val="none" w:sz="0" w:space="0" w:color="auto"/>
                    <w:right w:val="none" w:sz="0" w:space="0" w:color="auto"/>
                  </w:divBdr>
                  <w:divsChild>
                    <w:div w:id="386415642">
                      <w:marLeft w:val="0"/>
                      <w:marRight w:val="0"/>
                      <w:marTop w:val="0"/>
                      <w:marBottom w:val="0"/>
                      <w:divBdr>
                        <w:top w:val="none" w:sz="0" w:space="0" w:color="auto"/>
                        <w:left w:val="none" w:sz="0" w:space="0" w:color="auto"/>
                        <w:bottom w:val="none" w:sz="0" w:space="0" w:color="auto"/>
                        <w:right w:val="none" w:sz="0" w:space="0" w:color="auto"/>
                      </w:divBdr>
                      <w:divsChild>
                        <w:div w:id="1900707596">
                          <w:marLeft w:val="0"/>
                          <w:marRight w:val="0"/>
                          <w:marTop w:val="0"/>
                          <w:marBottom w:val="0"/>
                          <w:divBdr>
                            <w:top w:val="none" w:sz="0" w:space="0" w:color="auto"/>
                            <w:left w:val="none" w:sz="0" w:space="0" w:color="auto"/>
                            <w:bottom w:val="none" w:sz="0" w:space="0" w:color="auto"/>
                            <w:right w:val="none" w:sz="0" w:space="0" w:color="auto"/>
                          </w:divBdr>
                          <w:divsChild>
                            <w:div w:id="358548079">
                              <w:marLeft w:val="0"/>
                              <w:marRight w:val="0"/>
                              <w:marTop w:val="0"/>
                              <w:marBottom w:val="0"/>
                              <w:divBdr>
                                <w:top w:val="none" w:sz="0" w:space="0" w:color="auto"/>
                                <w:left w:val="none" w:sz="0" w:space="0" w:color="auto"/>
                                <w:bottom w:val="none" w:sz="0" w:space="0" w:color="auto"/>
                                <w:right w:val="none" w:sz="0" w:space="0" w:color="auto"/>
                              </w:divBdr>
                              <w:divsChild>
                                <w:div w:id="143203531">
                                  <w:marLeft w:val="0"/>
                                  <w:marRight w:val="0"/>
                                  <w:marTop w:val="0"/>
                                  <w:marBottom w:val="0"/>
                                  <w:divBdr>
                                    <w:top w:val="none" w:sz="0" w:space="0" w:color="auto"/>
                                    <w:left w:val="none" w:sz="0" w:space="0" w:color="auto"/>
                                    <w:bottom w:val="none" w:sz="0" w:space="0" w:color="auto"/>
                                    <w:right w:val="none" w:sz="0" w:space="0" w:color="auto"/>
                                  </w:divBdr>
                                  <w:divsChild>
                                    <w:div w:id="37659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30956833">
      <w:bodyDiv w:val="1"/>
      <w:marLeft w:val="0"/>
      <w:marRight w:val="0"/>
      <w:marTop w:val="0"/>
      <w:marBottom w:val="0"/>
      <w:divBdr>
        <w:top w:val="none" w:sz="0" w:space="0" w:color="auto"/>
        <w:left w:val="none" w:sz="0" w:space="0" w:color="auto"/>
        <w:bottom w:val="none" w:sz="0" w:space="0" w:color="auto"/>
        <w:right w:val="none" w:sz="0" w:space="0" w:color="auto"/>
      </w:divBdr>
      <w:divsChild>
        <w:div w:id="809905110">
          <w:marLeft w:val="0"/>
          <w:marRight w:val="0"/>
          <w:marTop w:val="0"/>
          <w:marBottom w:val="0"/>
          <w:divBdr>
            <w:top w:val="none" w:sz="0" w:space="0" w:color="auto"/>
            <w:left w:val="none" w:sz="0" w:space="0" w:color="auto"/>
            <w:bottom w:val="none" w:sz="0" w:space="0" w:color="auto"/>
            <w:right w:val="none" w:sz="0" w:space="0" w:color="auto"/>
          </w:divBdr>
          <w:divsChild>
            <w:div w:id="1371109836">
              <w:marLeft w:val="0"/>
              <w:marRight w:val="0"/>
              <w:marTop w:val="0"/>
              <w:marBottom w:val="0"/>
              <w:divBdr>
                <w:top w:val="none" w:sz="0" w:space="0" w:color="auto"/>
                <w:left w:val="none" w:sz="0" w:space="0" w:color="auto"/>
                <w:bottom w:val="none" w:sz="0" w:space="0" w:color="auto"/>
                <w:right w:val="none" w:sz="0" w:space="0" w:color="auto"/>
              </w:divBdr>
              <w:divsChild>
                <w:div w:id="1677229103">
                  <w:marLeft w:val="0"/>
                  <w:marRight w:val="0"/>
                  <w:marTop w:val="0"/>
                  <w:marBottom w:val="0"/>
                  <w:divBdr>
                    <w:top w:val="none" w:sz="0" w:space="0" w:color="auto"/>
                    <w:left w:val="none" w:sz="0" w:space="0" w:color="auto"/>
                    <w:bottom w:val="none" w:sz="0" w:space="0" w:color="auto"/>
                    <w:right w:val="none" w:sz="0" w:space="0" w:color="auto"/>
                  </w:divBdr>
                  <w:divsChild>
                    <w:div w:id="1322809251">
                      <w:marLeft w:val="0"/>
                      <w:marRight w:val="0"/>
                      <w:marTop w:val="0"/>
                      <w:marBottom w:val="0"/>
                      <w:divBdr>
                        <w:top w:val="none" w:sz="0" w:space="0" w:color="auto"/>
                        <w:left w:val="none" w:sz="0" w:space="0" w:color="auto"/>
                        <w:bottom w:val="none" w:sz="0" w:space="0" w:color="auto"/>
                        <w:right w:val="none" w:sz="0" w:space="0" w:color="auto"/>
                      </w:divBdr>
                      <w:divsChild>
                        <w:div w:id="71391720">
                          <w:marLeft w:val="0"/>
                          <w:marRight w:val="0"/>
                          <w:marTop w:val="0"/>
                          <w:marBottom w:val="0"/>
                          <w:divBdr>
                            <w:top w:val="none" w:sz="0" w:space="0" w:color="auto"/>
                            <w:left w:val="none" w:sz="0" w:space="0" w:color="auto"/>
                            <w:bottom w:val="none" w:sz="0" w:space="0" w:color="auto"/>
                            <w:right w:val="none" w:sz="0" w:space="0" w:color="auto"/>
                          </w:divBdr>
                          <w:divsChild>
                            <w:div w:id="554588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8727106">
      <w:bodyDiv w:val="1"/>
      <w:marLeft w:val="0"/>
      <w:marRight w:val="0"/>
      <w:marTop w:val="0"/>
      <w:marBottom w:val="0"/>
      <w:divBdr>
        <w:top w:val="none" w:sz="0" w:space="0" w:color="auto"/>
        <w:left w:val="none" w:sz="0" w:space="0" w:color="auto"/>
        <w:bottom w:val="none" w:sz="0" w:space="0" w:color="auto"/>
        <w:right w:val="none" w:sz="0" w:space="0" w:color="auto"/>
      </w:divBdr>
      <w:divsChild>
        <w:div w:id="309795223">
          <w:marLeft w:val="0"/>
          <w:marRight w:val="0"/>
          <w:marTop w:val="0"/>
          <w:marBottom w:val="0"/>
          <w:divBdr>
            <w:top w:val="none" w:sz="0" w:space="0" w:color="auto"/>
            <w:left w:val="none" w:sz="0" w:space="0" w:color="auto"/>
            <w:bottom w:val="none" w:sz="0" w:space="0" w:color="auto"/>
            <w:right w:val="none" w:sz="0" w:space="0" w:color="auto"/>
          </w:divBdr>
          <w:divsChild>
            <w:div w:id="1564213759">
              <w:marLeft w:val="0"/>
              <w:marRight w:val="0"/>
              <w:marTop w:val="0"/>
              <w:marBottom w:val="0"/>
              <w:divBdr>
                <w:top w:val="none" w:sz="0" w:space="0" w:color="auto"/>
                <w:left w:val="none" w:sz="0" w:space="0" w:color="auto"/>
                <w:bottom w:val="none" w:sz="0" w:space="0" w:color="auto"/>
                <w:right w:val="none" w:sz="0" w:space="0" w:color="auto"/>
              </w:divBdr>
              <w:divsChild>
                <w:div w:id="625501831">
                  <w:marLeft w:val="0"/>
                  <w:marRight w:val="0"/>
                  <w:marTop w:val="0"/>
                  <w:marBottom w:val="0"/>
                  <w:divBdr>
                    <w:top w:val="none" w:sz="0" w:space="0" w:color="auto"/>
                    <w:left w:val="none" w:sz="0" w:space="0" w:color="auto"/>
                    <w:bottom w:val="none" w:sz="0" w:space="0" w:color="auto"/>
                    <w:right w:val="none" w:sz="0" w:space="0" w:color="auto"/>
                  </w:divBdr>
                  <w:divsChild>
                    <w:div w:id="2036533907">
                      <w:marLeft w:val="0"/>
                      <w:marRight w:val="0"/>
                      <w:marTop w:val="0"/>
                      <w:marBottom w:val="0"/>
                      <w:divBdr>
                        <w:top w:val="none" w:sz="0" w:space="0" w:color="auto"/>
                        <w:left w:val="none" w:sz="0" w:space="0" w:color="auto"/>
                        <w:bottom w:val="none" w:sz="0" w:space="0" w:color="auto"/>
                        <w:right w:val="none" w:sz="0" w:space="0" w:color="auto"/>
                      </w:divBdr>
                      <w:divsChild>
                        <w:div w:id="706835237">
                          <w:marLeft w:val="0"/>
                          <w:marRight w:val="0"/>
                          <w:marTop w:val="0"/>
                          <w:marBottom w:val="0"/>
                          <w:divBdr>
                            <w:top w:val="none" w:sz="0" w:space="0" w:color="auto"/>
                            <w:left w:val="none" w:sz="0" w:space="0" w:color="auto"/>
                            <w:bottom w:val="none" w:sz="0" w:space="0" w:color="auto"/>
                            <w:right w:val="none" w:sz="0" w:space="0" w:color="auto"/>
                          </w:divBdr>
                          <w:divsChild>
                            <w:div w:id="897397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90815">
      <w:bodyDiv w:val="1"/>
      <w:marLeft w:val="75"/>
      <w:marRight w:val="0"/>
      <w:marTop w:val="0"/>
      <w:marBottom w:val="0"/>
      <w:divBdr>
        <w:top w:val="none" w:sz="0" w:space="0" w:color="auto"/>
        <w:left w:val="none" w:sz="0" w:space="0" w:color="auto"/>
        <w:bottom w:val="none" w:sz="0" w:space="0" w:color="auto"/>
        <w:right w:val="none" w:sz="0" w:space="0" w:color="auto"/>
      </w:divBdr>
      <w:divsChild>
        <w:div w:id="1886598920">
          <w:marLeft w:val="0"/>
          <w:marRight w:val="0"/>
          <w:marTop w:val="0"/>
          <w:marBottom w:val="0"/>
          <w:divBdr>
            <w:top w:val="none" w:sz="0" w:space="0" w:color="auto"/>
            <w:left w:val="none" w:sz="0" w:space="0" w:color="auto"/>
            <w:bottom w:val="none" w:sz="0" w:space="0" w:color="auto"/>
            <w:right w:val="none" w:sz="0" w:space="0" w:color="auto"/>
          </w:divBdr>
          <w:divsChild>
            <w:div w:id="666205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36842">
      <w:bodyDiv w:val="1"/>
      <w:marLeft w:val="0"/>
      <w:marRight w:val="0"/>
      <w:marTop w:val="0"/>
      <w:marBottom w:val="0"/>
      <w:divBdr>
        <w:top w:val="none" w:sz="0" w:space="0" w:color="auto"/>
        <w:left w:val="none" w:sz="0" w:space="0" w:color="auto"/>
        <w:bottom w:val="none" w:sz="0" w:space="0" w:color="auto"/>
        <w:right w:val="none" w:sz="0" w:space="0" w:color="auto"/>
      </w:divBdr>
      <w:divsChild>
        <w:div w:id="1008213890">
          <w:marLeft w:val="0"/>
          <w:marRight w:val="0"/>
          <w:marTop w:val="0"/>
          <w:marBottom w:val="0"/>
          <w:divBdr>
            <w:top w:val="none" w:sz="0" w:space="0" w:color="auto"/>
            <w:left w:val="none" w:sz="0" w:space="0" w:color="auto"/>
            <w:bottom w:val="none" w:sz="0" w:space="0" w:color="auto"/>
            <w:right w:val="none" w:sz="0" w:space="0" w:color="auto"/>
          </w:divBdr>
          <w:divsChild>
            <w:div w:id="222450358">
              <w:marLeft w:val="0"/>
              <w:marRight w:val="0"/>
              <w:marTop w:val="0"/>
              <w:marBottom w:val="0"/>
              <w:divBdr>
                <w:top w:val="none" w:sz="0" w:space="0" w:color="auto"/>
                <w:left w:val="none" w:sz="0" w:space="0" w:color="auto"/>
                <w:bottom w:val="none" w:sz="0" w:space="0" w:color="auto"/>
                <w:right w:val="none" w:sz="0" w:space="0" w:color="auto"/>
              </w:divBdr>
              <w:divsChild>
                <w:div w:id="651057415">
                  <w:marLeft w:val="0"/>
                  <w:marRight w:val="0"/>
                  <w:marTop w:val="0"/>
                  <w:marBottom w:val="0"/>
                  <w:divBdr>
                    <w:top w:val="none" w:sz="0" w:space="0" w:color="auto"/>
                    <w:left w:val="none" w:sz="0" w:space="0" w:color="auto"/>
                    <w:bottom w:val="none" w:sz="0" w:space="0" w:color="auto"/>
                    <w:right w:val="none" w:sz="0" w:space="0" w:color="auto"/>
                  </w:divBdr>
                  <w:divsChild>
                    <w:div w:id="697853860">
                      <w:marLeft w:val="0"/>
                      <w:marRight w:val="0"/>
                      <w:marTop w:val="0"/>
                      <w:marBottom w:val="0"/>
                      <w:divBdr>
                        <w:top w:val="none" w:sz="0" w:space="0" w:color="auto"/>
                        <w:left w:val="none" w:sz="0" w:space="0" w:color="auto"/>
                        <w:bottom w:val="none" w:sz="0" w:space="0" w:color="auto"/>
                        <w:right w:val="none" w:sz="0" w:space="0" w:color="auto"/>
                      </w:divBdr>
                      <w:divsChild>
                        <w:div w:id="1737320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7999201">
      <w:bodyDiv w:val="1"/>
      <w:marLeft w:val="0"/>
      <w:marRight w:val="0"/>
      <w:marTop w:val="0"/>
      <w:marBottom w:val="0"/>
      <w:divBdr>
        <w:top w:val="none" w:sz="0" w:space="0" w:color="auto"/>
        <w:left w:val="none" w:sz="0" w:space="0" w:color="auto"/>
        <w:bottom w:val="none" w:sz="0" w:space="0" w:color="auto"/>
        <w:right w:val="none" w:sz="0" w:space="0" w:color="auto"/>
      </w:divBdr>
      <w:divsChild>
        <w:div w:id="1313026206">
          <w:marLeft w:val="0"/>
          <w:marRight w:val="0"/>
          <w:marTop w:val="0"/>
          <w:marBottom w:val="0"/>
          <w:divBdr>
            <w:top w:val="none" w:sz="0" w:space="0" w:color="auto"/>
            <w:left w:val="none" w:sz="0" w:space="0" w:color="auto"/>
            <w:bottom w:val="none" w:sz="0" w:space="0" w:color="auto"/>
            <w:right w:val="none" w:sz="0" w:space="0" w:color="auto"/>
          </w:divBdr>
          <w:divsChild>
            <w:div w:id="215093521">
              <w:marLeft w:val="0"/>
              <w:marRight w:val="0"/>
              <w:marTop w:val="0"/>
              <w:marBottom w:val="0"/>
              <w:divBdr>
                <w:top w:val="none" w:sz="0" w:space="0" w:color="auto"/>
                <w:left w:val="none" w:sz="0" w:space="0" w:color="auto"/>
                <w:bottom w:val="none" w:sz="0" w:space="0" w:color="auto"/>
                <w:right w:val="none" w:sz="0" w:space="0" w:color="auto"/>
              </w:divBdr>
              <w:divsChild>
                <w:div w:id="1207525910">
                  <w:marLeft w:val="0"/>
                  <w:marRight w:val="0"/>
                  <w:marTop w:val="0"/>
                  <w:marBottom w:val="0"/>
                  <w:divBdr>
                    <w:top w:val="none" w:sz="0" w:space="0" w:color="auto"/>
                    <w:left w:val="none" w:sz="0" w:space="0" w:color="auto"/>
                    <w:bottom w:val="none" w:sz="0" w:space="0" w:color="auto"/>
                    <w:right w:val="none" w:sz="0" w:space="0" w:color="auto"/>
                  </w:divBdr>
                  <w:divsChild>
                    <w:div w:id="1367828759">
                      <w:marLeft w:val="0"/>
                      <w:marRight w:val="0"/>
                      <w:marTop w:val="0"/>
                      <w:marBottom w:val="0"/>
                      <w:divBdr>
                        <w:top w:val="none" w:sz="0" w:space="0" w:color="auto"/>
                        <w:left w:val="none" w:sz="0" w:space="0" w:color="auto"/>
                        <w:bottom w:val="none" w:sz="0" w:space="0" w:color="auto"/>
                        <w:right w:val="none" w:sz="0" w:space="0" w:color="auto"/>
                      </w:divBdr>
                      <w:divsChild>
                        <w:div w:id="547187028">
                          <w:marLeft w:val="0"/>
                          <w:marRight w:val="0"/>
                          <w:marTop w:val="0"/>
                          <w:marBottom w:val="0"/>
                          <w:divBdr>
                            <w:top w:val="none" w:sz="0" w:space="0" w:color="auto"/>
                            <w:left w:val="none" w:sz="0" w:space="0" w:color="auto"/>
                            <w:bottom w:val="none" w:sz="0" w:space="0" w:color="auto"/>
                            <w:right w:val="none" w:sz="0" w:space="0" w:color="auto"/>
                          </w:divBdr>
                          <w:divsChild>
                            <w:div w:id="1546405273">
                              <w:marLeft w:val="0"/>
                              <w:marRight w:val="0"/>
                              <w:marTop w:val="0"/>
                              <w:marBottom w:val="0"/>
                              <w:divBdr>
                                <w:top w:val="none" w:sz="0" w:space="0" w:color="auto"/>
                                <w:left w:val="none" w:sz="0" w:space="0" w:color="auto"/>
                                <w:bottom w:val="none" w:sz="0" w:space="0" w:color="auto"/>
                                <w:right w:val="none" w:sz="0" w:space="0" w:color="auto"/>
                              </w:divBdr>
                              <w:divsChild>
                                <w:div w:id="16037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6631912">
      <w:bodyDiv w:val="1"/>
      <w:marLeft w:val="0"/>
      <w:marRight w:val="0"/>
      <w:marTop w:val="0"/>
      <w:marBottom w:val="0"/>
      <w:divBdr>
        <w:top w:val="none" w:sz="0" w:space="0" w:color="auto"/>
        <w:left w:val="none" w:sz="0" w:space="0" w:color="auto"/>
        <w:bottom w:val="none" w:sz="0" w:space="0" w:color="auto"/>
        <w:right w:val="none" w:sz="0" w:space="0" w:color="auto"/>
      </w:divBdr>
      <w:divsChild>
        <w:div w:id="671762265">
          <w:marLeft w:val="0"/>
          <w:marRight w:val="0"/>
          <w:marTop w:val="0"/>
          <w:marBottom w:val="0"/>
          <w:divBdr>
            <w:top w:val="none" w:sz="0" w:space="0" w:color="auto"/>
            <w:left w:val="none" w:sz="0" w:space="0" w:color="auto"/>
            <w:bottom w:val="none" w:sz="0" w:space="0" w:color="auto"/>
            <w:right w:val="none" w:sz="0" w:space="0" w:color="auto"/>
          </w:divBdr>
          <w:divsChild>
            <w:div w:id="925765984">
              <w:marLeft w:val="0"/>
              <w:marRight w:val="0"/>
              <w:marTop w:val="0"/>
              <w:marBottom w:val="0"/>
              <w:divBdr>
                <w:top w:val="none" w:sz="0" w:space="0" w:color="auto"/>
                <w:left w:val="none" w:sz="0" w:space="0" w:color="auto"/>
                <w:bottom w:val="none" w:sz="0" w:space="0" w:color="auto"/>
                <w:right w:val="none" w:sz="0" w:space="0" w:color="auto"/>
              </w:divBdr>
              <w:divsChild>
                <w:div w:id="1344169155">
                  <w:marLeft w:val="0"/>
                  <w:marRight w:val="0"/>
                  <w:marTop w:val="0"/>
                  <w:marBottom w:val="0"/>
                  <w:divBdr>
                    <w:top w:val="none" w:sz="0" w:space="0" w:color="auto"/>
                    <w:left w:val="none" w:sz="0" w:space="0" w:color="auto"/>
                    <w:bottom w:val="none" w:sz="0" w:space="0" w:color="auto"/>
                    <w:right w:val="none" w:sz="0" w:space="0" w:color="auto"/>
                  </w:divBdr>
                  <w:divsChild>
                    <w:div w:id="165479883">
                      <w:marLeft w:val="0"/>
                      <w:marRight w:val="0"/>
                      <w:marTop w:val="0"/>
                      <w:marBottom w:val="0"/>
                      <w:divBdr>
                        <w:top w:val="none" w:sz="0" w:space="0" w:color="auto"/>
                        <w:left w:val="none" w:sz="0" w:space="0" w:color="auto"/>
                        <w:bottom w:val="none" w:sz="0" w:space="0" w:color="auto"/>
                        <w:right w:val="none" w:sz="0" w:space="0" w:color="auto"/>
                      </w:divBdr>
                      <w:divsChild>
                        <w:div w:id="1846045727">
                          <w:marLeft w:val="0"/>
                          <w:marRight w:val="0"/>
                          <w:marTop w:val="0"/>
                          <w:marBottom w:val="0"/>
                          <w:divBdr>
                            <w:top w:val="none" w:sz="0" w:space="0" w:color="auto"/>
                            <w:left w:val="none" w:sz="0" w:space="0" w:color="auto"/>
                            <w:bottom w:val="none" w:sz="0" w:space="0" w:color="auto"/>
                            <w:right w:val="none" w:sz="0" w:space="0" w:color="auto"/>
                          </w:divBdr>
                          <w:divsChild>
                            <w:div w:id="1779982162">
                              <w:marLeft w:val="0"/>
                              <w:marRight w:val="0"/>
                              <w:marTop w:val="0"/>
                              <w:marBottom w:val="0"/>
                              <w:divBdr>
                                <w:top w:val="none" w:sz="0" w:space="0" w:color="auto"/>
                                <w:left w:val="none" w:sz="0" w:space="0" w:color="auto"/>
                                <w:bottom w:val="none" w:sz="0" w:space="0" w:color="auto"/>
                                <w:right w:val="none" w:sz="0" w:space="0" w:color="auto"/>
                              </w:divBdr>
                              <w:divsChild>
                                <w:div w:id="293298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4865143">
      <w:bodyDiv w:val="1"/>
      <w:marLeft w:val="0"/>
      <w:marRight w:val="0"/>
      <w:marTop w:val="0"/>
      <w:marBottom w:val="0"/>
      <w:divBdr>
        <w:top w:val="none" w:sz="0" w:space="0" w:color="auto"/>
        <w:left w:val="none" w:sz="0" w:space="0" w:color="auto"/>
        <w:bottom w:val="none" w:sz="0" w:space="0" w:color="auto"/>
        <w:right w:val="none" w:sz="0" w:space="0" w:color="auto"/>
      </w:divBdr>
      <w:divsChild>
        <w:div w:id="501626061">
          <w:marLeft w:val="30"/>
          <w:marRight w:val="75"/>
          <w:marTop w:val="0"/>
          <w:marBottom w:val="0"/>
          <w:divBdr>
            <w:top w:val="none" w:sz="0" w:space="0" w:color="auto"/>
            <w:left w:val="none" w:sz="0" w:space="0" w:color="auto"/>
            <w:bottom w:val="none" w:sz="0" w:space="0" w:color="auto"/>
            <w:right w:val="none" w:sz="0" w:space="0" w:color="auto"/>
          </w:divBdr>
        </w:div>
      </w:divsChild>
    </w:div>
    <w:div w:id="1122185519">
      <w:bodyDiv w:val="1"/>
      <w:marLeft w:val="0"/>
      <w:marRight w:val="0"/>
      <w:marTop w:val="0"/>
      <w:marBottom w:val="0"/>
      <w:divBdr>
        <w:top w:val="none" w:sz="0" w:space="0" w:color="auto"/>
        <w:left w:val="none" w:sz="0" w:space="0" w:color="auto"/>
        <w:bottom w:val="none" w:sz="0" w:space="0" w:color="auto"/>
        <w:right w:val="none" w:sz="0" w:space="0" w:color="auto"/>
      </w:divBdr>
    </w:div>
    <w:div w:id="1145512236">
      <w:bodyDiv w:val="1"/>
      <w:marLeft w:val="0"/>
      <w:marRight w:val="0"/>
      <w:marTop w:val="0"/>
      <w:marBottom w:val="0"/>
      <w:divBdr>
        <w:top w:val="none" w:sz="0" w:space="0" w:color="auto"/>
        <w:left w:val="none" w:sz="0" w:space="0" w:color="auto"/>
        <w:bottom w:val="none" w:sz="0" w:space="0" w:color="auto"/>
        <w:right w:val="none" w:sz="0" w:space="0" w:color="auto"/>
      </w:divBdr>
      <w:divsChild>
        <w:div w:id="27218678">
          <w:marLeft w:val="0"/>
          <w:marRight w:val="0"/>
          <w:marTop w:val="0"/>
          <w:marBottom w:val="0"/>
          <w:divBdr>
            <w:top w:val="none" w:sz="0" w:space="0" w:color="auto"/>
            <w:left w:val="none" w:sz="0" w:space="0" w:color="auto"/>
            <w:bottom w:val="none" w:sz="0" w:space="0" w:color="auto"/>
            <w:right w:val="none" w:sz="0" w:space="0" w:color="auto"/>
          </w:divBdr>
          <w:divsChild>
            <w:div w:id="413237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635793">
      <w:bodyDiv w:val="1"/>
      <w:marLeft w:val="0"/>
      <w:marRight w:val="0"/>
      <w:marTop w:val="0"/>
      <w:marBottom w:val="0"/>
      <w:divBdr>
        <w:top w:val="none" w:sz="0" w:space="0" w:color="auto"/>
        <w:left w:val="none" w:sz="0" w:space="0" w:color="auto"/>
        <w:bottom w:val="none" w:sz="0" w:space="0" w:color="auto"/>
        <w:right w:val="none" w:sz="0" w:space="0" w:color="auto"/>
      </w:divBdr>
      <w:divsChild>
        <w:div w:id="1839809626">
          <w:marLeft w:val="0"/>
          <w:marRight w:val="0"/>
          <w:marTop w:val="0"/>
          <w:marBottom w:val="0"/>
          <w:divBdr>
            <w:top w:val="none" w:sz="0" w:space="0" w:color="auto"/>
            <w:left w:val="none" w:sz="0" w:space="0" w:color="auto"/>
            <w:bottom w:val="none" w:sz="0" w:space="0" w:color="auto"/>
            <w:right w:val="none" w:sz="0" w:space="0" w:color="auto"/>
          </w:divBdr>
          <w:divsChild>
            <w:div w:id="299192028">
              <w:marLeft w:val="0"/>
              <w:marRight w:val="0"/>
              <w:marTop w:val="0"/>
              <w:marBottom w:val="0"/>
              <w:divBdr>
                <w:top w:val="none" w:sz="0" w:space="0" w:color="auto"/>
                <w:left w:val="none" w:sz="0" w:space="0" w:color="auto"/>
                <w:bottom w:val="none" w:sz="0" w:space="0" w:color="auto"/>
                <w:right w:val="none" w:sz="0" w:space="0" w:color="auto"/>
              </w:divBdr>
              <w:divsChild>
                <w:div w:id="1316108683">
                  <w:marLeft w:val="0"/>
                  <w:marRight w:val="0"/>
                  <w:marTop w:val="0"/>
                  <w:marBottom w:val="0"/>
                  <w:divBdr>
                    <w:top w:val="none" w:sz="0" w:space="0" w:color="auto"/>
                    <w:left w:val="none" w:sz="0" w:space="0" w:color="auto"/>
                    <w:bottom w:val="none" w:sz="0" w:space="0" w:color="auto"/>
                    <w:right w:val="none" w:sz="0" w:space="0" w:color="auto"/>
                  </w:divBdr>
                  <w:divsChild>
                    <w:div w:id="237323007">
                      <w:marLeft w:val="0"/>
                      <w:marRight w:val="0"/>
                      <w:marTop w:val="0"/>
                      <w:marBottom w:val="0"/>
                      <w:divBdr>
                        <w:top w:val="none" w:sz="0" w:space="0" w:color="auto"/>
                        <w:left w:val="none" w:sz="0" w:space="0" w:color="auto"/>
                        <w:bottom w:val="none" w:sz="0" w:space="0" w:color="auto"/>
                        <w:right w:val="none" w:sz="0" w:space="0" w:color="auto"/>
                      </w:divBdr>
                      <w:divsChild>
                        <w:div w:id="1647006296">
                          <w:marLeft w:val="0"/>
                          <w:marRight w:val="0"/>
                          <w:marTop w:val="0"/>
                          <w:marBottom w:val="0"/>
                          <w:divBdr>
                            <w:top w:val="none" w:sz="0" w:space="0" w:color="auto"/>
                            <w:left w:val="none" w:sz="0" w:space="0" w:color="auto"/>
                            <w:bottom w:val="none" w:sz="0" w:space="0" w:color="auto"/>
                            <w:right w:val="none" w:sz="0" w:space="0" w:color="auto"/>
                          </w:divBdr>
                          <w:divsChild>
                            <w:div w:id="181856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1744890">
      <w:bodyDiv w:val="1"/>
      <w:marLeft w:val="0"/>
      <w:marRight w:val="0"/>
      <w:marTop w:val="0"/>
      <w:marBottom w:val="0"/>
      <w:divBdr>
        <w:top w:val="none" w:sz="0" w:space="0" w:color="auto"/>
        <w:left w:val="none" w:sz="0" w:space="0" w:color="auto"/>
        <w:bottom w:val="none" w:sz="0" w:space="0" w:color="auto"/>
        <w:right w:val="none" w:sz="0" w:space="0" w:color="auto"/>
      </w:divBdr>
      <w:divsChild>
        <w:div w:id="1910144234">
          <w:marLeft w:val="0"/>
          <w:marRight w:val="0"/>
          <w:marTop w:val="0"/>
          <w:marBottom w:val="0"/>
          <w:divBdr>
            <w:top w:val="none" w:sz="0" w:space="0" w:color="auto"/>
            <w:left w:val="none" w:sz="0" w:space="0" w:color="auto"/>
            <w:bottom w:val="none" w:sz="0" w:space="0" w:color="auto"/>
            <w:right w:val="none" w:sz="0" w:space="0" w:color="auto"/>
          </w:divBdr>
          <w:divsChild>
            <w:div w:id="233512968">
              <w:marLeft w:val="0"/>
              <w:marRight w:val="0"/>
              <w:marTop w:val="0"/>
              <w:marBottom w:val="0"/>
              <w:divBdr>
                <w:top w:val="none" w:sz="0" w:space="0" w:color="auto"/>
                <w:left w:val="none" w:sz="0" w:space="0" w:color="auto"/>
                <w:bottom w:val="none" w:sz="0" w:space="0" w:color="auto"/>
                <w:right w:val="none" w:sz="0" w:space="0" w:color="auto"/>
              </w:divBdr>
              <w:divsChild>
                <w:div w:id="1310551358">
                  <w:marLeft w:val="0"/>
                  <w:marRight w:val="0"/>
                  <w:marTop w:val="0"/>
                  <w:marBottom w:val="0"/>
                  <w:divBdr>
                    <w:top w:val="none" w:sz="0" w:space="0" w:color="auto"/>
                    <w:left w:val="none" w:sz="0" w:space="0" w:color="auto"/>
                    <w:bottom w:val="none" w:sz="0" w:space="0" w:color="auto"/>
                    <w:right w:val="none" w:sz="0" w:space="0" w:color="auto"/>
                  </w:divBdr>
                  <w:divsChild>
                    <w:div w:id="89924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2440865">
      <w:bodyDiv w:val="1"/>
      <w:marLeft w:val="75"/>
      <w:marRight w:val="0"/>
      <w:marTop w:val="0"/>
      <w:marBottom w:val="0"/>
      <w:divBdr>
        <w:top w:val="none" w:sz="0" w:space="0" w:color="auto"/>
        <w:left w:val="none" w:sz="0" w:space="0" w:color="auto"/>
        <w:bottom w:val="none" w:sz="0" w:space="0" w:color="auto"/>
        <w:right w:val="none" w:sz="0" w:space="0" w:color="auto"/>
      </w:divBdr>
      <w:divsChild>
        <w:div w:id="765080098">
          <w:marLeft w:val="0"/>
          <w:marRight w:val="0"/>
          <w:marTop w:val="0"/>
          <w:marBottom w:val="0"/>
          <w:divBdr>
            <w:top w:val="none" w:sz="0" w:space="0" w:color="auto"/>
            <w:left w:val="none" w:sz="0" w:space="0" w:color="auto"/>
            <w:bottom w:val="none" w:sz="0" w:space="0" w:color="auto"/>
            <w:right w:val="none" w:sz="0" w:space="0" w:color="auto"/>
          </w:divBdr>
          <w:divsChild>
            <w:div w:id="73173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272572">
      <w:bodyDiv w:val="1"/>
      <w:marLeft w:val="0"/>
      <w:marRight w:val="0"/>
      <w:marTop w:val="0"/>
      <w:marBottom w:val="0"/>
      <w:divBdr>
        <w:top w:val="none" w:sz="0" w:space="0" w:color="auto"/>
        <w:left w:val="none" w:sz="0" w:space="0" w:color="auto"/>
        <w:bottom w:val="none" w:sz="0" w:space="0" w:color="auto"/>
        <w:right w:val="none" w:sz="0" w:space="0" w:color="auto"/>
      </w:divBdr>
      <w:divsChild>
        <w:div w:id="1840273923">
          <w:marLeft w:val="0"/>
          <w:marRight w:val="0"/>
          <w:marTop w:val="0"/>
          <w:marBottom w:val="0"/>
          <w:divBdr>
            <w:top w:val="none" w:sz="0" w:space="0" w:color="auto"/>
            <w:left w:val="none" w:sz="0" w:space="0" w:color="auto"/>
            <w:bottom w:val="none" w:sz="0" w:space="0" w:color="auto"/>
            <w:right w:val="none" w:sz="0" w:space="0" w:color="auto"/>
          </w:divBdr>
          <w:divsChild>
            <w:div w:id="1233732372">
              <w:marLeft w:val="0"/>
              <w:marRight w:val="0"/>
              <w:marTop w:val="0"/>
              <w:marBottom w:val="0"/>
              <w:divBdr>
                <w:top w:val="none" w:sz="0" w:space="0" w:color="auto"/>
                <w:left w:val="none" w:sz="0" w:space="0" w:color="auto"/>
                <w:bottom w:val="none" w:sz="0" w:space="0" w:color="auto"/>
                <w:right w:val="none" w:sz="0" w:space="0" w:color="auto"/>
              </w:divBdr>
              <w:divsChild>
                <w:div w:id="77922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8571997">
      <w:bodyDiv w:val="1"/>
      <w:marLeft w:val="0"/>
      <w:marRight w:val="0"/>
      <w:marTop w:val="0"/>
      <w:marBottom w:val="0"/>
      <w:divBdr>
        <w:top w:val="none" w:sz="0" w:space="0" w:color="auto"/>
        <w:left w:val="none" w:sz="0" w:space="0" w:color="auto"/>
        <w:bottom w:val="none" w:sz="0" w:space="0" w:color="auto"/>
        <w:right w:val="none" w:sz="0" w:space="0" w:color="auto"/>
      </w:divBdr>
      <w:divsChild>
        <w:div w:id="535702893">
          <w:marLeft w:val="0"/>
          <w:marRight w:val="0"/>
          <w:marTop w:val="0"/>
          <w:marBottom w:val="0"/>
          <w:divBdr>
            <w:top w:val="none" w:sz="0" w:space="0" w:color="auto"/>
            <w:left w:val="none" w:sz="0" w:space="0" w:color="auto"/>
            <w:bottom w:val="none" w:sz="0" w:space="0" w:color="auto"/>
            <w:right w:val="none" w:sz="0" w:space="0" w:color="auto"/>
          </w:divBdr>
          <w:divsChild>
            <w:div w:id="616567483">
              <w:marLeft w:val="0"/>
              <w:marRight w:val="0"/>
              <w:marTop w:val="0"/>
              <w:marBottom w:val="0"/>
              <w:divBdr>
                <w:top w:val="none" w:sz="0" w:space="0" w:color="auto"/>
                <w:left w:val="none" w:sz="0" w:space="0" w:color="auto"/>
                <w:bottom w:val="none" w:sz="0" w:space="0" w:color="auto"/>
                <w:right w:val="none" w:sz="0" w:space="0" w:color="auto"/>
              </w:divBdr>
              <w:divsChild>
                <w:div w:id="1790509070">
                  <w:marLeft w:val="0"/>
                  <w:marRight w:val="0"/>
                  <w:marTop w:val="0"/>
                  <w:marBottom w:val="0"/>
                  <w:divBdr>
                    <w:top w:val="none" w:sz="0" w:space="0" w:color="auto"/>
                    <w:left w:val="none" w:sz="0" w:space="0" w:color="auto"/>
                    <w:bottom w:val="none" w:sz="0" w:space="0" w:color="auto"/>
                    <w:right w:val="none" w:sz="0" w:space="0" w:color="auto"/>
                  </w:divBdr>
                  <w:divsChild>
                    <w:div w:id="1987010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589646">
      <w:bodyDiv w:val="1"/>
      <w:marLeft w:val="0"/>
      <w:marRight w:val="0"/>
      <w:marTop w:val="0"/>
      <w:marBottom w:val="0"/>
      <w:divBdr>
        <w:top w:val="none" w:sz="0" w:space="0" w:color="auto"/>
        <w:left w:val="none" w:sz="0" w:space="0" w:color="auto"/>
        <w:bottom w:val="none" w:sz="0" w:space="0" w:color="auto"/>
        <w:right w:val="none" w:sz="0" w:space="0" w:color="auto"/>
      </w:divBdr>
      <w:divsChild>
        <w:div w:id="328291209">
          <w:marLeft w:val="0"/>
          <w:marRight w:val="0"/>
          <w:marTop w:val="0"/>
          <w:marBottom w:val="0"/>
          <w:divBdr>
            <w:top w:val="none" w:sz="0" w:space="0" w:color="auto"/>
            <w:left w:val="none" w:sz="0" w:space="0" w:color="auto"/>
            <w:bottom w:val="none" w:sz="0" w:space="0" w:color="auto"/>
            <w:right w:val="none" w:sz="0" w:space="0" w:color="auto"/>
          </w:divBdr>
          <w:divsChild>
            <w:div w:id="629284366">
              <w:marLeft w:val="0"/>
              <w:marRight w:val="0"/>
              <w:marTop w:val="0"/>
              <w:marBottom w:val="0"/>
              <w:divBdr>
                <w:top w:val="none" w:sz="0" w:space="0" w:color="auto"/>
                <w:left w:val="none" w:sz="0" w:space="0" w:color="auto"/>
                <w:bottom w:val="none" w:sz="0" w:space="0" w:color="auto"/>
                <w:right w:val="none" w:sz="0" w:space="0" w:color="auto"/>
              </w:divBdr>
              <w:divsChild>
                <w:div w:id="2029912552">
                  <w:marLeft w:val="0"/>
                  <w:marRight w:val="0"/>
                  <w:marTop w:val="0"/>
                  <w:marBottom w:val="0"/>
                  <w:divBdr>
                    <w:top w:val="none" w:sz="0" w:space="0" w:color="auto"/>
                    <w:left w:val="none" w:sz="0" w:space="0" w:color="auto"/>
                    <w:bottom w:val="none" w:sz="0" w:space="0" w:color="auto"/>
                    <w:right w:val="none" w:sz="0" w:space="0" w:color="auto"/>
                  </w:divBdr>
                  <w:divsChild>
                    <w:div w:id="1672487508">
                      <w:marLeft w:val="0"/>
                      <w:marRight w:val="0"/>
                      <w:marTop w:val="0"/>
                      <w:marBottom w:val="0"/>
                      <w:divBdr>
                        <w:top w:val="none" w:sz="0" w:space="0" w:color="auto"/>
                        <w:left w:val="none" w:sz="0" w:space="0" w:color="auto"/>
                        <w:bottom w:val="none" w:sz="0" w:space="0" w:color="auto"/>
                        <w:right w:val="none" w:sz="0" w:space="0" w:color="auto"/>
                      </w:divBdr>
                      <w:divsChild>
                        <w:div w:id="369307217">
                          <w:marLeft w:val="0"/>
                          <w:marRight w:val="0"/>
                          <w:marTop w:val="0"/>
                          <w:marBottom w:val="0"/>
                          <w:divBdr>
                            <w:top w:val="none" w:sz="0" w:space="0" w:color="auto"/>
                            <w:left w:val="none" w:sz="0" w:space="0" w:color="auto"/>
                            <w:bottom w:val="none" w:sz="0" w:space="0" w:color="auto"/>
                            <w:right w:val="none" w:sz="0" w:space="0" w:color="auto"/>
                          </w:divBdr>
                          <w:divsChild>
                            <w:div w:id="111479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83276856">
      <w:bodyDiv w:val="1"/>
      <w:marLeft w:val="0"/>
      <w:marRight w:val="0"/>
      <w:marTop w:val="0"/>
      <w:marBottom w:val="0"/>
      <w:divBdr>
        <w:top w:val="none" w:sz="0" w:space="0" w:color="auto"/>
        <w:left w:val="none" w:sz="0" w:space="0" w:color="auto"/>
        <w:bottom w:val="none" w:sz="0" w:space="0" w:color="auto"/>
        <w:right w:val="none" w:sz="0" w:space="0" w:color="auto"/>
      </w:divBdr>
      <w:divsChild>
        <w:div w:id="1324696516">
          <w:marLeft w:val="0"/>
          <w:marRight w:val="0"/>
          <w:marTop w:val="0"/>
          <w:marBottom w:val="0"/>
          <w:divBdr>
            <w:top w:val="none" w:sz="0" w:space="0" w:color="auto"/>
            <w:left w:val="none" w:sz="0" w:space="0" w:color="auto"/>
            <w:bottom w:val="none" w:sz="0" w:space="0" w:color="auto"/>
            <w:right w:val="none" w:sz="0" w:space="0" w:color="auto"/>
          </w:divBdr>
        </w:div>
      </w:divsChild>
    </w:div>
    <w:div w:id="1493913100">
      <w:bodyDiv w:val="1"/>
      <w:marLeft w:val="0"/>
      <w:marRight w:val="0"/>
      <w:marTop w:val="0"/>
      <w:marBottom w:val="0"/>
      <w:divBdr>
        <w:top w:val="none" w:sz="0" w:space="0" w:color="auto"/>
        <w:left w:val="none" w:sz="0" w:space="0" w:color="auto"/>
        <w:bottom w:val="none" w:sz="0" w:space="0" w:color="auto"/>
        <w:right w:val="none" w:sz="0" w:space="0" w:color="auto"/>
      </w:divBdr>
    </w:div>
    <w:div w:id="1565339487">
      <w:bodyDiv w:val="1"/>
      <w:marLeft w:val="0"/>
      <w:marRight w:val="0"/>
      <w:marTop w:val="0"/>
      <w:marBottom w:val="0"/>
      <w:divBdr>
        <w:top w:val="none" w:sz="0" w:space="0" w:color="auto"/>
        <w:left w:val="none" w:sz="0" w:space="0" w:color="auto"/>
        <w:bottom w:val="none" w:sz="0" w:space="0" w:color="auto"/>
        <w:right w:val="none" w:sz="0" w:space="0" w:color="auto"/>
      </w:divBdr>
      <w:divsChild>
        <w:div w:id="431631369">
          <w:marLeft w:val="0"/>
          <w:marRight w:val="0"/>
          <w:marTop w:val="0"/>
          <w:marBottom w:val="0"/>
          <w:divBdr>
            <w:top w:val="none" w:sz="0" w:space="0" w:color="auto"/>
            <w:left w:val="none" w:sz="0" w:space="0" w:color="auto"/>
            <w:bottom w:val="none" w:sz="0" w:space="0" w:color="auto"/>
            <w:right w:val="none" w:sz="0" w:space="0" w:color="auto"/>
          </w:divBdr>
          <w:divsChild>
            <w:div w:id="1851066352">
              <w:marLeft w:val="0"/>
              <w:marRight w:val="0"/>
              <w:marTop w:val="0"/>
              <w:marBottom w:val="0"/>
              <w:divBdr>
                <w:top w:val="none" w:sz="0" w:space="0" w:color="auto"/>
                <w:left w:val="none" w:sz="0" w:space="0" w:color="auto"/>
                <w:bottom w:val="none" w:sz="0" w:space="0" w:color="auto"/>
                <w:right w:val="none" w:sz="0" w:space="0" w:color="auto"/>
              </w:divBdr>
              <w:divsChild>
                <w:div w:id="1195584131">
                  <w:marLeft w:val="0"/>
                  <w:marRight w:val="0"/>
                  <w:marTop w:val="0"/>
                  <w:marBottom w:val="0"/>
                  <w:divBdr>
                    <w:top w:val="none" w:sz="0" w:space="0" w:color="auto"/>
                    <w:left w:val="none" w:sz="0" w:space="0" w:color="auto"/>
                    <w:bottom w:val="none" w:sz="0" w:space="0" w:color="auto"/>
                    <w:right w:val="none" w:sz="0" w:space="0" w:color="auto"/>
                  </w:divBdr>
                  <w:divsChild>
                    <w:div w:id="254635104">
                      <w:marLeft w:val="0"/>
                      <w:marRight w:val="0"/>
                      <w:marTop w:val="0"/>
                      <w:marBottom w:val="0"/>
                      <w:divBdr>
                        <w:top w:val="none" w:sz="0" w:space="0" w:color="auto"/>
                        <w:left w:val="none" w:sz="0" w:space="0" w:color="auto"/>
                        <w:bottom w:val="none" w:sz="0" w:space="0" w:color="auto"/>
                        <w:right w:val="none" w:sz="0" w:space="0" w:color="auto"/>
                      </w:divBdr>
                      <w:divsChild>
                        <w:div w:id="931166607">
                          <w:marLeft w:val="0"/>
                          <w:marRight w:val="0"/>
                          <w:marTop w:val="0"/>
                          <w:marBottom w:val="0"/>
                          <w:divBdr>
                            <w:top w:val="none" w:sz="0" w:space="0" w:color="auto"/>
                            <w:left w:val="none" w:sz="0" w:space="0" w:color="auto"/>
                            <w:bottom w:val="none" w:sz="0" w:space="0" w:color="auto"/>
                            <w:right w:val="none" w:sz="0" w:space="0" w:color="auto"/>
                          </w:divBdr>
                          <w:divsChild>
                            <w:div w:id="1276449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89727600">
      <w:bodyDiv w:val="1"/>
      <w:marLeft w:val="0"/>
      <w:marRight w:val="0"/>
      <w:marTop w:val="0"/>
      <w:marBottom w:val="0"/>
      <w:divBdr>
        <w:top w:val="none" w:sz="0" w:space="0" w:color="auto"/>
        <w:left w:val="none" w:sz="0" w:space="0" w:color="auto"/>
        <w:bottom w:val="none" w:sz="0" w:space="0" w:color="auto"/>
        <w:right w:val="none" w:sz="0" w:space="0" w:color="auto"/>
      </w:divBdr>
      <w:divsChild>
        <w:div w:id="900947854">
          <w:marLeft w:val="0"/>
          <w:marRight w:val="0"/>
          <w:marTop w:val="0"/>
          <w:marBottom w:val="0"/>
          <w:divBdr>
            <w:top w:val="none" w:sz="0" w:space="0" w:color="auto"/>
            <w:left w:val="none" w:sz="0" w:space="0" w:color="auto"/>
            <w:bottom w:val="none" w:sz="0" w:space="0" w:color="auto"/>
            <w:right w:val="none" w:sz="0" w:space="0" w:color="auto"/>
          </w:divBdr>
          <w:divsChild>
            <w:div w:id="680934913">
              <w:marLeft w:val="0"/>
              <w:marRight w:val="0"/>
              <w:marTop w:val="0"/>
              <w:marBottom w:val="0"/>
              <w:divBdr>
                <w:top w:val="none" w:sz="0" w:space="0" w:color="auto"/>
                <w:left w:val="none" w:sz="0" w:space="0" w:color="auto"/>
                <w:bottom w:val="none" w:sz="0" w:space="0" w:color="auto"/>
                <w:right w:val="none" w:sz="0" w:space="0" w:color="auto"/>
              </w:divBdr>
              <w:divsChild>
                <w:div w:id="433865483">
                  <w:marLeft w:val="0"/>
                  <w:marRight w:val="0"/>
                  <w:marTop w:val="0"/>
                  <w:marBottom w:val="0"/>
                  <w:divBdr>
                    <w:top w:val="none" w:sz="0" w:space="0" w:color="auto"/>
                    <w:left w:val="none" w:sz="0" w:space="0" w:color="auto"/>
                    <w:bottom w:val="none" w:sz="0" w:space="0" w:color="auto"/>
                    <w:right w:val="none" w:sz="0" w:space="0" w:color="auto"/>
                  </w:divBdr>
                  <w:divsChild>
                    <w:div w:id="1835224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988352">
      <w:bodyDiv w:val="1"/>
      <w:marLeft w:val="0"/>
      <w:marRight w:val="0"/>
      <w:marTop w:val="0"/>
      <w:marBottom w:val="0"/>
      <w:divBdr>
        <w:top w:val="none" w:sz="0" w:space="0" w:color="auto"/>
        <w:left w:val="none" w:sz="0" w:space="0" w:color="auto"/>
        <w:bottom w:val="none" w:sz="0" w:space="0" w:color="auto"/>
        <w:right w:val="none" w:sz="0" w:space="0" w:color="auto"/>
      </w:divBdr>
      <w:divsChild>
        <w:div w:id="996155840">
          <w:marLeft w:val="0"/>
          <w:marRight w:val="0"/>
          <w:marTop w:val="0"/>
          <w:marBottom w:val="0"/>
          <w:divBdr>
            <w:top w:val="none" w:sz="0" w:space="0" w:color="auto"/>
            <w:left w:val="none" w:sz="0" w:space="0" w:color="auto"/>
            <w:bottom w:val="none" w:sz="0" w:space="0" w:color="auto"/>
            <w:right w:val="none" w:sz="0" w:space="0" w:color="auto"/>
          </w:divBdr>
          <w:divsChild>
            <w:div w:id="161817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816727">
      <w:bodyDiv w:val="1"/>
      <w:marLeft w:val="0"/>
      <w:marRight w:val="0"/>
      <w:marTop w:val="0"/>
      <w:marBottom w:val="0"/>
      <w:divBdr>
        <w:top w:val="none" w:sz="0" w:space="0" w:color="auto"/>
        <w:left w:val="none" w:sz="0" w:space="0" w:color="auto"/>
        <w:bottom w:val="none" w:sz="0" w:space="0" w:color="auto"/>
        <w:right w:val="none" w:sz="0" w:space="0" w:color="auto"/>
      </w:divBdr>
    </w:div>
    <w:div w:id="1661957187">
      <w:bodyDiv w:val="1"/>
      <w:marLeft w:val="0"/>
      <w:marRight w:val="0"/>
      <w:marTop w:val="0"/>
      <w:marBottom w:val="0"/>
      <w:divBdr>
        <w:top w:val="none" w:sz="0" w:space="0" w:color="auto"/>
        <w:left w:val="none" w:sz="0" w:space="0" w:color="auto"/>
        <w:bottom w:val="none" w:sz="0" w:space="0" w:color="auto"/>
        <w:right w:val="none" w:sz="0" w:space="0" w:color="auto"/>
      </w:divBdr>
    </w:div>
    <w:div w:id="1679576739">
      <w:bodyDiv w:val="1"/>
      <w:marLeft w:val="75"/>
      <w:marRight w:val="0"/>
      <w:marTop w:val="0"/>
      <w:marBottom w:val="0"/>
      <w:divBdr>
        <w:top w:val="none" w:sz="0" w:space="0" w:color="auto"/>
        <w:left w:val="none" w:sz="0" w:space="0" w:color="auto"/>
        <w:bottom w:val="none" w:sz="0" w:space="0" w:color="auto"/>
        <w:right w:val="none" w:sz="0" w:space="0" w:color="auto"/>
      </w:divBdr>
      <w:divsChild>
        <w:div w:id="1331059784">
          <w:marLeft w:val="0"/>
          <w:marRight w:val="0"/>
          <w:marTop w:val="0"/>
          <w:marBottom w:val="0"/>
          <w:divBdr>
            <w:top w:val="none" w:sz="0" w:space="0" w:color="auto"/>
            <w:left w:val="none" w:sz="0" w:space="0" w:color="auto"/>
            <w:bottom w:val="none" w:sz="0" w:space="0" w:color="auto"/>
            <w:right w:val="none" w:sz="0" w:space="0" w:color="auto"/>
          </w:divBdr>
          <w:divsChild>
            <w:div w:id="250160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528500">
      <w:bodyDiv w:val="1"/>
      <w:marLeft w:val="0"/>
      <w:marRight w:val="0"/>
      <w:marTop w:val="0"/>
      <w:marBottom w:val="0"/>
      <w:divBdr>
        <w:top w:val="none" w:sz="0" w:space="0" w:color="auto"/>
        <w:left w:val="none" w:sz="0" w:space="0" w:color="auto"/>
        <w:bottom w:val="none" w:sz="0" w:space="0" w:color="auto"/>
        <w:right w:val="none" w:sz="0" w:space="0" w:color="auto"/>
      </w:divBdr>
      <w:divsChild>
        <w:div w:id="305938262">
          <w:marLeft w:val="0"/>
          <w:marRight w:val="0"/>
          <w:marTop w:val="0"/>
          <w:marBottom w:val="0"/>
          <w:divBdr>
            <w:top w:val="none" w:sz="0" w:space="0" w:color="auto"/>
            <w:left w:val="none" w:sz="0" w:space="0" w:color="auto"/>
            <w:bottom w:val="none" w:sz="0" w:space="0" w:color="auto"/>
            <w:right w:val="none" w:sz="0" w:space="0" w:color="auto"/>
          </w:divBdr>
          <w:divsChild>
            <w:div w:id="891042624">
              <w:marLeft w:val="0"/>
              <w:marRight w:val="0"/>
              <w:marTop w:val="0"/>
              <w:marBottom w:val="0"/>
              <w:divBdr>
                <w:top w:val="none" w:sz="0" w:space="0" w:color="auto"/>
                <w:left w:val="none" w:sz="0" w:space="0" w:color="auto"/>
                <w:bottom w:val="none" w:sz="0" w:space="0" w:color="auto"/>
                <w:right w:val="none" w:sz="0" w:space="0" w:color="auto"/>
              </w:divBdr>
              <w:divsChild>
                <w:div w:id="103575131">
                  <w:marLeft w:val="0"/>
                  <w:marRight w:val="0"/>
                  <w:marTop w:val="0"/>
                  <w:marBottom w:val="0"/>
                  <w:divBdr>
                    <w:top w:val="none" w:sz="0" w:space="0" w:color="auto"/>
                    <w:left w:val="none" w:sz="0" w:space="0" w:color="auto"/>
                    <w:bottom w:val="none" w:sz="0" w:space="0" w:color="auto"/>
                    <w:right w:val="none" w:sz="0" w:space="0" w:color="auto"/>
                  </w:divBdr>
                  <w:divsChild>
                    <w:div w:id="643659791">
                      <w:marLeft w:val="0"/>
                      <w:marRight w:val="0"/>
                      <w:marTop w:val="0"/>
                      <w:marBottom w:val="0"/>
                      <w:divBdr>
                        <w:top w:val="none" w:sz="0" w:space="0" w:color="auto"/>
                        <w:left w:val="none" w:sz="0" w:space="0" w:color="auto"/>
                        <w:bottom w:val="none" w:sz="0" w:space="0" w:color="auto"/>
                        <w:right w:val="none" w:sz="0" w:space="0" w:color="auto"/>
                      </w:divBdr>
                      <w:divsChild>
                        <w:div w:id="1564946183">
                          <w:marLeft w:val="0"/>
                          <w:marRight w:val="0"/>
                          <w:marTop w:val="0"/>
                          <w:marBottom w:val="0"/>
                          <w:divBdr>
                            <w:top w:val="none" w:sz="0" w:space="0" w:color="auto"/>
                            <w:left w:val="none" w:sz="0" w:space="0" w:color="auto"/>
                            <w:bottom w:val="none" w:sz="0" w:space="0" w:color="auto"/>
                            <w:right w:val="none" w:sz="0" w:space="0" w:color="auto"/>
                          </w:divBdr>
                          <w:divsChild>
                            <w:div w:id="1758281311">
                              <w:marLeft w:val="0"/>
                              <w:marRight w:val="0"/>
                              <w:marTop w:val="0"/>
                              <w:marBottom w:val="0"/>
                              <w:divBdr>
                                <w:top w:val="none" w:sz="0" w:space="0" w:color="auto"/>
                                <w:left w:val="none" w:sz="0" w:space="0" w:color="auto"/>
                                <w:bottom w:val="none" w:sz="0" w:space="0" w:color="auto"/>
                                <w:right w:val="none" w:sz="0" w:space="0" w:color="auto"/>
                              </w:divBdr>
                              <w:divsChild>
                                <w:div w:id="1098063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23283122">
      <w:bodyDiv w:val="1"/>
      <w:marLeft w:val="0"/>
      <w:marRight w:val="0"/>
      <w:marTop w:val="0"/>
      <w:marBottom w:val="0"/>
      <w:divBdr>
        <w:top w:val="none" w:sz="0" w:space="0" w:color="auto"/>
        <w:left w:val="none" w:sz="0" w:space="0" w:color="auto"/>
        <w:bottom w:val="none" w:sz="0" w:space="0" w:color="auto"/>
        <w:right w:val="none" w:sz="0" w:space="0" w:color="auto"/>
      </w:divBdr>
      <w:divsChild>
        <w:div w:id="1582986568">
          <w:marLeft w:val="0"/>
          <w:marRight w:val="0"/>
          <w:marTop w:val="0"/>
          <w:marBottom w:val="0"/>
          <w:divBdr>
            <w:top w:val="none" w:sz="0" w:space="0" w:color="auto"/>
            <w:left w:val="none" w:sz="0" w:space="0" w:color="auto"/>
            <w:bottom w:val="none" w:sz="0" w:space="0" w:color="auto"/>
            <w:right w:val="none" w:sz="0" w:space="0" w:color="auto"/>
          </w:divBdr>
          <w:divsChild>
            <w:div w:id="1288900318">
              <w:marLeft w:val="0"/>
              <w:marRight w:val="0"/>
              <w:marTop w:val="0"/>
              <w:marBottom w:val="0"/>
              <w:divBdr>
                <w:top w:val="none" w:sz="0" w:space="0" w:color="auto"/>
                <w:left w:val="none" w:sz="0" w:space="0" w:color="auto"/>
                <w:bottom w:val="none" w:sz="0" w:space="0" w:color="auto"/>
                <w:right w:val="none" w:sz="0" w:space="0" w:color="auto"/>
              </w:divBdr>
              <w:divsChild>
                <w:div w:id="538082201">
                  <w:marLeft w:val="0"/>
                  <w:marRight w:val="0"/>
                  <w:marTop w:val="0"/>
                  <w:marBottom w:val="0"/>
                  <w:divBdr>
                    <w:top w:val="none" w:sz="0" w:space="0" w:color="auto"/>
                    <w:left w:val="none" w:sz="0" w:space="0" w:color="auto"/>
                    <w:bottom w:val="none" w:sz="0" w:space="0" w:color="auto"/>
                    <w:right w:val="none" w:sz="0" w:space="0" w:color="auto"/>
                  </w:divBdr>
                  <w:divsChild>
                    <w:div w:id="2136635067">
                      <w:marLeft w:val="0"/>
                      <w:marRight w:val="0"/>
                      <w:marTop w:val="0"/>
                      <w:marBottom w:val="0"/>
                      <w:divBdr>
                        <w:top w:val="none" w:sz="0" w:space="0" w:color="auto"/>
                        <w:left w:val="none" w:sz="0" w:space="0" w:color="auto"/>
                        <w:bottom w:val="none" w:sz="0" w:space="0" w:color="auto"/>
                        <w:right w:val="none" w:sz="0" w:space="0" w:color="auto"/>
                      </w:divBdr>
                      <w:divsChild>
                        <w:div w:id="2071145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8620486">
      <w:bodyDiv w:val="1"/>
      <w:marLeft w:val="0"/>
      <w:marRight w:val="0"/>
      <w:marTop w:val="0"/>
      <w:marBottom w:val="0"/>
      <w:divBdr>
        <w:top w:val="none" w:sz="0" w:space="0" w:color="auto"/>
        <w:left w:val="none" w:sz="0" w:space="0" w:color="auto"/>
        <w:bottom w:val="none" w:sz="0" w:space="0" w:color="auto"/>
        <w:right w:val="none" w:sz="0" w:space="0" w:color="auto"/>
      </w:divBdr>
      <w:divsChild>
        <w:div w:id="1282759165">
          <w:marLeft w:val="0"/>
          <w:marRight w:val="0"/>
          <w:marTop w:val="0"/>
          <w:marBottom w:val="0"/>
          <w:divBdr>
            <w:top w:val="none" w:sz="0" w:space="0" w:color="auto"/>
            <w:left w:val="none" w:sz="0" w:space="0" w:color="auto"/>
            <w:bottom w:val="none" w:sz="0" w:space="0" w:color="auto"/>
            <w:right w:val="none" w:sz="0" w:space="0" w:color="auto"/>
          </w:divBdr>
          <w:divsChild>
            <w:div w:id="1447508841">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1768621769">
      <w:bodyDiv w:val="1"/>
      <w:marLeft w:val="0"/>
      <w:marRight w:val="0"/>
      <w:marTop w:val="0"/>
      <w:marBottom w:val="0"/>
      <w:divBdr>
        <w:top w:val="none" w:sz="0" w:space="0" w:color="auto"/>
        <w:left w:val="none" w:sz="0" w:space="0" w:color="auto"/>
        <w:bottom w:val="none" w:sz="0" w:space="0" w:color="auto"/>
        <w:right w:val="none" w:sz="0" w:space="0" w:color="auto"/>
      </w:divBdr>
    </w:div>
    <w:div w:id="1814905877">
      <w:bodyDiv w:val="1"/>
      <w:marLeft w:val="75"/>
      <w:marRight w:val="0"/>
      <w:marTop w:val="0"/>
      <w:marBottom w:val="0"/>
      <w:divBdr>
        <w:top w:val="none" w:sz="0" w:space="0" w:color="auto"/>
        <w:left w:val="none" w:sz="0" w:space="0" w:color="auto"/>
        <w:bottom w:val="none" w:sz="0" w:space="0" w:color="auto"/>
        <w:right w:val="none" w:sz="0" w:space="0" w:color="auto"/>
      </w:divBdr>
      <w:divsChild>
        <w:div w:id="886450355">
          <w:marLeft w:val="0"/>
          <w:marRight w:val="0"/>
          <w:marTop w:val="0"/>
          <w:marBottom w:val="0"/>
          <w:divBdr>
            <w:top w:val="none" w:sz="0" w:space="0" w:color="auto"/>
            <w:left w:val="none" w:sz="0" w:space="0" w:color="auto"/>
            <w:bottom w:val="none" w:sz="0" w:space="0" w:color="auto"/>
            <w:right w:val="none" w:sz="0" w:space="0" w:color="auto"/>
          </w:divBdr>
          <w:divsChild>
            <w:div w:id="1014529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72803">
      <w:bodyDiv w:val="1"/>
      <w:marLeft w:val="0"/>
      <w:marRight w:val="0"/>
      <w:marTop w:val="0"/>
      <w:marBottom w:val="0"/>
      <w:divBdr>
        <w:top w:val="none" w:sz="0" w:space="0" w:color="auto"/>
        <w:left w:val="none" w:sz="0" w:space="0" w:color="auto"/>
        <w:bottom w:val="none" w:sz="0" w:space="0" w:color="auto"/>
        <w:right w:val="none" w:sz="0" w:space="0" w:color="auto"/>
      </w:divBdr>
    </w:div>
    <w:div w:id="1922710404">
      <w:bodyDiv w:val="1"/>
      <w:marLeft w:val="0"/>
      <w:marRight w:val="0"/>
      <w:marTop w:val="0"/>
      <w:marBottom w:val="0"/>
      <w:divBdr>
        <w:top w:val="none" w:sz="0" w:space="0" w:color="auto"/>
        <w:left w:val="none" w:sz="0" w:space="0" w:color="auto"/>
        <w:bottom w:val="none" w:sz="0" w:space="0" w:color="auto"/>
        <w:right w:val="none" w:sz="0" w:space="0" w:color="auto"/>
      </w:divBdr>
    </w:div>
    <w:div w:id="1955819305">
      <w:bodyDiv w:val="1"/>
      <w:marLeft w:val="0"/>
      <w:marRight w:val="0"/>
      <w:marTop w:val="0"/>
      <w:marBottom w:val="0"/>
      <w:divBdr>
        <w:top w:val="none" w:sz="0" w:space="0" w:color="auto"/>
        <w:left w:val="none" w:sz="0" w:space="0" w:color="auto"/>
        <w:bottom w:val="none" w:sz="0" w:space="0" w:color="auto"/>
        <w:right w:val="none" w:sz="0" w:space="0" w:color="auto"/>
      </w:divBdr>
      <w:divsChild>
        <w:div w:id="63377882">
          <w:marLeft w:val="0"/>
          <w:marRight w:val="0"/>
          <w:marTop w:val="0"/>
          <w:marBottom w:val="0"/>
          <w:divBdr>
            <w:top w:val="none" w:sz="0" w:space="0" w:color="auto"/>
            <w:left w:val="none" w:sz="0" w:space="0" w:color="auto"/>
            <w:bottom w:val="none" w:sz="0" w:space="0" w:color="auto"/>
            <w:right w:val="none" w:sz="0" w:space="0" w:color="auto"/>
          </w:divBdr>
        </w:div>
      </w:divsChild>
    </w:div>
    <w:div w:id="1971009802">
      <w:bodyDiv w:val="1"/>
      <w:marLeft w:val="0"/>
      <w:marRight w:val="0"/>
      <w:marTop w:val="0"/>
      <w:marBottom w:val="0"/>
      <w:divBdr>
        <w:top w:val="none" w:sz="0" w:space="0" w:color="auto"/>
        <w:left w:val="none" w:sz="0" w:space="0" w:color="auto"/>
        <w:bottom w:val="none" w:sz="0" w:space="0" w:color="auto"/>
        <w:right w:val="none" w:sz="0" w:space="0" w:color="auto"/>
      </w:divBdr>
      <w:divsChild>
        <w:div w:id="222719120">
          <w:marLeft w:val="0"/>
          <w:marRight w:val="0"/>
          <w:marTop w:val="0"/>
          <w:marBottom w:val="0"/>
          <w:divBdr>
            <w:top w:val="none" w:sz="0" w:space="0" w:color="auto"/>
            <w:left w:val="none" w:sz="0" w:space="0" w:color="auto"/>
            <w:bottom w:val="none" w:sz="0" w:space="0" w:color="auto"/>
            <w:right w:val="none" w:sz="0" w:space="0" w:color="auto"/>
          </w:divBdr>
          <w:divsChild>
            <w:div w:id="906764567">
              <w:marLeft w:val="0"/>
              <w:marRight w:val="0"/>
              <w:marTop w:val="0"/>
              <w:marBottom w:val="0"/>
              <w:divBdr>
                <w:top w:val="none" w:sz="0" w:space="0" w:color="auto"/>
                <w:left w:val="none" w:sz="0" w:space="0" w:color="auto"/>
                <w:bottom w:val="none" w:sz="0" w:space="0" w:color="auto"/>
                <w:right w:val="none" w:sz="0" w:space="0" w:color="auto"/>
              </w:divBdr>
              <w:divsChild>
                <w:div w:id="1780563610">
                  <w:marLeft w:val="0"/>
                  <w:marRight w:val="0"/>
                  <w:marTop w:val="0"/>
                  <w:marBottom w:val="0"/>
                  <w:divBdr>
                    <w:top w:val="none" w:sz="0" w:space="0" w:color="auto"/>
                    <w:left w:val="none" w:sz="0" w:space="0" w:color="auto"/>
                    <w:bottom w:val="none" w:sz="0" w:space="0" w:color="auto"/>
                    <w:right w:val="none" w:sz="0" w:space="0" w:color="auto"/>
                  </w:divBdr>
                  <w:divsChild>
                    <w:div w:id="99959141">
                      <w:marLeft w:val="0"/>
                      <w:marRight w:val="0"/>
                      <w:marTop w:val="0"/>
                      <w:marBottom w:val="0"/>
                      <w:divBdr>
                        <w:top w:val="none" w:sz="0" w:space="0" w:color="auto"/>
                        <w:left w:val="none" w:sz="0" w:space="0" w:color="auto"/>
                        <w:bottom w:val="none" w:sz="0" w:space="0" w:color="auto"/>
                        <w:right w:val="none" w:sz="0" w:space="0" w:color="auto"/>
                      </w:divBdr>
                      <w:divsChild>
                        <w:div w:id="798375527">
                          <w:marLeft w:val="0"/>
                          <w:marRight w:val="0"/>
                          <w:marTop w:val="0"/>
                          <w:marBottom w:val="0"/>
                          <w:divBdr>
                            <w:top w:val="none" w:sz="0" w:space="0" w:color="auto"/>
                            <w:left w:val="none" w:sz="0" w:space="0" w:color="auto"/>
                            <w:bottom w:val="none" w:sz="0" w:space="0" w:color="auto"/>
                            <w:right w:val="none" w:sz="0" w:space="0" w:color="auto"/>
                          </w:divBdr>
                          <w:divsChild>
                            <w:div w:id="20193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7858041">
      <w:bodyDiv w:val="1"/>
      <w:marLeft w:val="0"/>
      <w:marRight w:val="0"/>
      <w:marTop w:val="0"/>
      <w:marBottom w:val="0"/>
      <w:divBdr>
        <w:top w:val="none" w:sz="0" w:space="0" w:color="auto"/>
        <w:left w:val="none" w:sz="0" w:space="0" w:color="auto"/>
        <w:bottom w:val="none" w:sz="0" w:space="0" w:color="auto"/>
        <w:right w:val="none" w:sz="0" w:space="0" w:color="auto"/>
      </w:divBdr>
      <w:divsChild>
        <w:div w:id="218516445">
          <w:marLeft w:val="0"/>
          <w:marRight w:val="0"/>
          <w:marTop w:val="0"/>
          <w:marBottom w:val="0"/>
          <w:divBdr>
            <w:top w:val="none" w:sz="0" w:space="0" w:color="auto"/>
            <w:left w:val="none" w:sz="0" w:space="0" w:color="auto"/>
            <w:bottom w:val="none" w:sz="0" w:space="0" w:color="auto"/>
            <w:right w:val="none" w:sz="0" w:space="0" w:color="auto"/>
          </w:divBdr>
          <w:divsChild>
            <w:div w:id="29139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772514">
      <w:bodyDiv w:val="1"/>
      <w:marLeft w:val="0"/>
      <w:marRight w:val="0"/>
      <w:marTop w:val="0"/>
      <w:marBottom w:val="0"/>
      <w:divBdr>
        <w:top w:val="none" w:sz="0" w:space="0" w:color="auto"/>
        <w:left w:val="none" w:sz="0" w:space="0" w:color="auto"/>
        <w:bottom w:val="none" w:sz="0" w:space="0" w:color="auto"/>
        <w:right w:val="none" w:sz="0" w:space="0" w:color="auto"/>
      </w:divBdr>
      <w:divsChild>
        <w:div w:id="1515151880">
          <w:marLeft w:val="0"/>
          <w:marRight w:val="0"/>
          <w:marTop w:val="0"/>
          <w:marBottom w:val="0"/>
          <w:divBdr>
            <w:top w:val="none" w:sz="0" w:space="0" w:color="auto"/>
            <w:left w:val="none" w:sz="0" w:space="0" w:color="auto"/>
            <w:bottom w:val="none" w:sz="0" w:space="0" w:color="auto"/>
            <w:right w:val="none" w:sz="0" w:space="0" w:color="auto"/>
          </w:divBdr>
          <w:divsChild>
            <w:div w:id="1415588589">
              <w:marLeft w:val="0"/>
              <w:marRight w:val="0"/>
              <w:marTop w:val="0"/>
              <w:marBottom w:val="210"/>
              <w:divBdr>
                <w:top w:val="none" w:sz="0" w:space="0" w:color="auto"/>
                <w:left w:val="none" w:sz="0" w:space="0" w:color="auto"/>
                <w:bottom w:val="none" w:sz="0" w:space="0" w:color="auto"/>
                <w:right w:val="none" w:sz="0" w:space="0" w:color="auto"/>
              </w:divBdr>
            </w:div>
          </w:divsChild>
        </w:div>
      </w:divsChild>
    </w:div>
    <w:div w:id="2007171480">
      <w:bodyDiv w:val="1"/>
      <w:marLeft w:val="0"/>
      <w:marRight w:val="0"/>
      <w:marTop w:val="0"/>
      <w:marBottom w:val="0"/>
      <w:divBdr>
        <w:top w:val="none" w:sz="0" w:space="0" w:color="auto"/>
        <w:left w:val="none" w:sz="0" w:space="0" w:color="auto"/>
        <w:bottom w:val="none" w:sz="0" w:space="0" w:color="auto"/>
        <w:right w:val="none" w:sz="0" w:space="0" w:color="auto"/>
      </w:divBdr>
    </w:div>
    <w:div w:id="2046177815">
      <w:bodyDiv w:val="1"/>
      <w:marLeft w:val="0"/>
      <w:marRight w:val="0"/>
      <w:marTop w:val="0"/>
      <w:marBottom w:val="0"/>
      <w:divBdr>
        <w:top w:val="none" w:sz="0" w:space="0" w:color="auto"/>
        <w:left w:val="none" w:sz="0" w:space="0" w:color="auto"/>
        <w:bottom w:val="none" w:sz="0" w:space="0" w:color="auto"/>
        <w:right w:val="none" w:sz="0" w:space="0" w:color="auto"/>
      </w:divBdr>
    </w:div>
    <w:div w:id="2061322488">
      <w:bodyDiv w:val="1"/>
      <w:marLeft w:val="50"/>
      <w:marRight w:val="0"/>
      <w:marTop w:val="0"/>
      <w:marBottom w:val="0"/>
      <w:divBdr>
        <w:top w:val="none" w:sz="0" w:space="0" w:color="auto"/>
        <w:left w:val="none" w:sz="0" w:space="0" w:color="auto"/>
        <w:bottom w:val="none" w:sz="0" w:space="0" w:color="auto"/>
        <w:right w:val="none" w:sz="0" w:space="0" w:color="auto"/>
      </w:divBdr>
      <w:divsChild>
        <w:div w:id="494610571">
          <w:marLeft w:val="0"/>
          <w:marRight w:val="0"/>
          <w:marTop w:val="0"/>
          <w:marBottom w:val="0"/>
          <w:divBdr>
            <w:top w:val="none" w:sz="0" w:space="0" w:color="auto"/>
            <w:left w:val="none" w:sz="0" w:space="0" w:color="auto"/>
            <w:bottom w:val="none" w:sz="0" w:space="0" w:color="auto"/>
            <w:right w:val="none" w:sz="0" w:space="0" w:color="auto"/>
          </w:divBdr>
          <w:divsChild>
            <w:div w:id="1858693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523461">
      <w:bodyDiv w:val="1"/>
      <w:marLeft w:val="0"/>
      <w:marRight w:val="0"/>
      <w:marTop w:val="0"/>
      <w:marBottom w:val="0"/>
      <w:divBdr>
        <w:top w:val="none" w:sz="0" w:space="0" w:color="auto"/>
        <w:left w:val="none" w:sz="0" w:space="0" w:color="auto"/>
        <w:bottom w:val="none" w:sz="0" w:space="0" w:color="auto"/>
        <w:right w:val="none" w:sz="0" w:space="0" w:color="auto"/>
      </w:divBdr>
      <w:divsChild>
        <w:div w:id="1888486674">
          <w:marLeft w:val="0"/>
          <w:marRight w:val="0"/>
          <w:marTop w:val="0"/>
          <w:marBottom w:val="0"/>
          <w:divBdr>
            <w:top w:val="none" w:sz="0" w:space="0" w:color="auto"/>
            <w:left w:val="none" w:sz="0" w:space="0" w:color="auto"/>
            <w:bottom w:val="none" w:sz="0" w:space="0" w:color="auto"/>
            <w:right w:val="none" w:sz="0" w:space="0" w:color="auto"/>
          </w:divBdr>
          <w:divsChild>
            <w:div w:id="1338843291">
              <w:marLeft w:val="0"/>
              <w:marRight w:val="0"/>
              <w:marTop w:val="0"/>
              <w:marBottom w:val="0"/>
              <w:divBdr>
                <w:top w:val="none" w:sz="0" w:space="0" w:color="auto"/>
                <w:left w:val="none" w:sz="0" w:space="0" w:color="auto"/>
                <w:bottom w:val="none" w:sz="0" w:space="0" w:color="auto"/>
                <w:right w:val="none" w:sz="0" w:space="0" w:color="auto"/>
              </w:divBdr>
              <w:divsChild>
                <w:div w:id="65609609">
                  <w:marLeft w:val="0"/>
                  <w:marRight w:val="0"/>
                  <w:marTop w:val="0"/>
                  <w:marBottom w:val="0"/>
                  <w:divBdr>
                    <w:top w:val="none" w:sz="0" w:space="0" w:color="auto"/>
                    <w:left w:val="none" w:sz="0" w:space="0" w:color="auto"/>
                    <w:bottom w:val="none" w:sz="0" w:space="0" w:color="auto"/>
                    <w:right w:val="none" w:sz="0" w:space="0" w:color="auto"/>
                  </w:divBdr>
                  <w:divsChild>
                    <w:div w:id="2061981021">
                      <w:marLeft w:val="0"/>
                      <w:marRight w:val="0"/>
                      <w:marTop w:val="0"/>
                      <w:marBottom w:val="0"/>
                      <w:divBdr>
                        <w:top w:val="single" w:sz="6" w:space="0" w:color="DCD9D9"/>
                        <w:left w:val="single" w:sz="6" w:space="0" w:color="DCD9D9"/>
                        <w:bottom w:val="single" w:sz="2" w:space="0" w:color="DCD9D9"/>
                        <w:right w:val="single" w:sz="6" w:space="0" w:color="DCD9D9"/>
                      </w:divBdr>
                      <w:divsChild>
                        <w:div w:id="958336301">
                          <w:marLeft w:val="0"/>
                          <w:marRight w:val="-100"/>
                          <w:marTop w:val="450"/>
                          <w:marBottom w:val="0"/>
                          <w:divBdr>
                            <w:top w:val="none" w:sz="0" w:space="0" w:color="auto"/>
                            <w:left w:val="none" w:sz="0" w:space="0" w:color="auto"/>
                            <w:bottom w:val="none" w:sz="0" w:space="0" w:color="auto"/>
                            <w:right w:val="none" w:sz="0" w:space="0" w:color="auto"/>
                          </w:divBdr>
                          <w:divsChild>
                            <w:div w:id="1638215661">
                              <w:marLeft w:val="0"/>
                              <w:marRight w:val="0"/>
                              <w:marTop w:val="0"/>
                              <w:marBottom w:val="0"/>
                              <w:divBdr>
                                <w:top w:val="none" w:sz="0" w:space="0" w:color="auto"/>
                                <w:left w:val="none" w:sz="0" w:space="0" w:color="auto"/>
                                <w:bottom w:val="none" w:sz="0" w:space="0" w:color="auto"/>
                                <w:right w:val="none" w:sz="0" w:space="0" w:color="auto"/>
                              </w:divBdr>
                              <w:divsChild>
                                <w:div w:id="1072122107">
                                  <w:marLeft w:val="0"/>
                                  <w:marRight w:val="0"/>
                                  <w:marTop w:val="0"/>
                                  <w:marBottom w:val="0"/>
                                  <w:divBdr>
                                    <w:top w:val="none" w:sz="0" w:space="0" w:color="auto"/>
                                    <w:left w:val="none" w:sz="0" w:space="0" w:color="auto"/>
                                    <w:bottom w:val="none" w:sz="0" w:space="0" w:color="auto"/>
                                    <w:right w:val="none" w:sz="0" w:space="0" w:color="auto"/>
                                  </w:divBdr>
                                  <w:divsChild>
                                    <w:div w:id="11885049">
                                      <w:marLeft w:val="0"/>
                                      <w:marRight w:val="0"/>
                                      <w:marTop w:val="0"/>
                                      <w:marBottom w:val="0"/>
                                      <w:divBdr>
                                        <w:top w:val="none" w:sz="0" w:space="0" w:color="auto"/>
                                        <w:left w:val="none" w:sz="0" w:space="0" w:color="auto"/>
                                        <w:bottom w:val="none" w:sz="0" w:space="0" w:color="auto"/>
                                        <w:right w:val="none" w:sz="0" w:space="0" w:color="auto"/>
                                      </w:divBdr>
                                      <w:divsChild>
                                        <w:div w:id="969434860">
                                          <w:marLeft w:val="0"/>
                                          <w:marRight w:val="0"/>
                                          <w:marTop w:val="0"/>
                                          <w:marBottom w:val="360"/>
                                          <w:divBdr>
                                            <w:top w:val="none" w:sz="0" w:space="0" w:color="auto"/>
                                            <w:left w:val="none" w:sz="0" w:space="0" w:color="auto"/>
                                            <w:bottom w:val="none" w:sz="0" w:space="0" w:color="auto"/>
                                            <w:right w:val="none" w:sz="0" w:space="0" w:color="auto"/>
                                          </w:divBdr>
                                          <w:divsChild>
                                            <w:div w:id="779111451">
                                              <w:marLeft w:val="0"/>
                                              <w:marRight w:val="0"/>
                                              <w:marTop w:val="0"/>
                                              <w:marBottom w:val="0"/>
                                              <w:divBdr>
                                                <w:top w:val="none" w:sz="0" w:space="0" w:color="auto"/>
                                                <w:left w:val="none" w:sz="0" w:space="0" w:color="auto"/>
                                                <w:bottom w:val="none" w:sz="0" w:space="0" w:color="auto"/>
                                                <w:right w:val="none" w:sz="0" w:space="0" w:color="auto"/>
                                              </w:divBdr>
                                              <w:divsChild>
                                                <w:div w:id="113981465">
                                                  <w:marLeft w:val="0"/>
                                                  <w:marRight w:val="0"/>
                                                  <w:marTop w:val="0"/>
                                                  <w:marBottom w:val="0"/>
                                                  <w:divBdr>
                                                    <w:top w:val="none" w:sz="0" w:space="0" w:color="auto"/>
                                                    <w:left w:val="none" w:sz="0" w:space="0" w:color="auto"/>
                                                    <w:bottom w:val="none" w:sz="0" w:space="0" w:color="auto"/>
                                                    <w:right w:val="none" w:sz="0" w:space="0" w:color="auto"/>
                                                  </w:divBdr>
                                                  <w:divsChild>
                                                    <w:div w:id="1036076190">
                                                      <w:marLeft w:val="0"/>
                                                      <w:marRight w:val="0"/>
                                                      <w:marTop w:val="0"/>
                                                      <w:marBottom w:val="0"/>
                                                      <w:divBdr>
                                                        <w:top w:val="none" w:sz="0" w:space="0" w:color="auto"/>
                                                        <w:left w:val="none" w:sz="0" w:space="0" w:color="auto"/>
                                                        <w:bottom w:val="none" w:sz="0" w:space="0" w:color="auto"/>
                                                        <w:right w:val="none" w:sz="0" w:space="0" w:color="auto"/>
                                                      </w:divBdr>
                                                      <w:divsChild>
                                                        <w:div w:id="542601275">
                                                          <w:marLeft w:val="0"/>
                                                          <w:marRight w:val="0"/>
                                                          <w:marTop w:val="0"/>
                                                          <w:marBottom w:val="0"/>
                                                          <w:divBdr>
                                                            <w:top w:val="none" w:sz="0" w:space="0" w:color="auto"/>
                                                            <w:left w:val="none" w:sz="0" w:space="0" w:color="auto"/>
                                                            <w:bottom w:val="none" w:sz="0" w:space="0" w:color="auto"/>
                                                            <w:right w:val="none" w:sz="0" w:space="0" w:color="auto"/>
                                                          </w:divBdr>
                                                          <w:divsChild>
                                                            <w:div w:id="768693331">
                                                              <w:marLeft w:val="0"/>
                                                              <w:marRight w:val="0"/>
                                                              <w:marTop w:val="0"/>
                                                              <w:marBottom w:val="0"/>
                                                              <w:divBdr>
                                                                <w:top w:val="none" w:sz="0" w:space="0" w:color="auto"/>
                                                                <w:left w:val="none" w:sz="0" w:space="0" w:color="auto"/>
                                                                <w:bottom w:val="none" w:sz="0" w:space="0" w:color="auto"/>
                                                                <w:right w:val="none" w:sz="0" w:space="0" w:color="auto"/>
                                                              </w:divBdr>
                                                              <w:divsChild>
                                                                <w:div w:id="184674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emp.lbl.gov/sites/all/files/LBNL%20PV%20Business%20Models%20Report_no%20report%20number_0.pdf" TargetMode="External"/><Relationship Id="rId26" Type="http://schemas.openxmlformats.org/officeDocument/2006/relationships/hyperlink" Target="http://www.aer.gov.au/node/28553" TargetMode="External"/><Relationship Id="rId39" Type="http://schemas.openxmlformats.org/officeDocument/2006/relationships/hyperlink" Target="http://www.qca.org.au/Media-Centre/Media-Releases/Media-Releases/2014/Oct/Draft-decision-balances-interests-of-Queensland-Ra" TargetMode="External"/><Relationship Id="rId21" Type="http://schemas.openxmlformats.org/officeDocument/2006/relationships/hyperlink" Target="http://www.nera.com/publications/archive/2014/determining-the-weighted-average-cost-of-capital-of-airports-in-0.html" TargetMode="External"/><Relationship Id="rId34" Type="http://schemas.openxmlformats.org/officeDocument/2006/relationships/hyperlink" Target="http://www.aemc.gov.au/News-Center/What-s-New/Announcements/Consultation-on-approach-to-the-2015-Retail-Compet" TargetMode="External"/><Relationship Id="rId42" Type="http://schemas.openxmlformats.org/officeDocument/2006/relationships/hyperlink" Target="http://www.escosa.sa.gov.au/article/newsdetail.aspx?p=16&amp;id=1303" TargetMode="External"/><Relationship Id="rId47" Type="http://schemas.openxmlformats.org/officeDocument/2006/relationships/hyperlink" Target="http://www.erawa.com.au/cproot/13010/2/20141119%202014%20Ministers%20Report%20Discussion%20Paper%20Notice.pdf" TargetMode="External"/><Relationship Id="rId50" Type="http://schemas.openxmlformats.org/officeDocument/2006/relationships/hyperlink" Target="http://www.erawa.com.au/cproot/12941/2/20141014%20D129515%20%20GDS%20-%20ATCO%20-%20AA4%20-%20Draft%20Decision%20Publication%20Notice.pdf" TargetMode="External"/><Relationship Id="rId55" Type="http://schemas.openxmlformats.org/officeDocument/2006/relationships/hyperlink" Target="http://www.accc.gov.au/system/files/Working%20paper%20no.%206%20%20-%20Benchmarking%20energy%20networks.pdf" TargetMode="External"/><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1.xml"/><Relationship Id="rId16" Type="http://schemas.openxmlformats.org/officeDocument/2006/relationships/footer" Target="footer4.xml"/><Relationship Id="rId20" Type="http://schemas.openxmlformats.org/officeDocument/2006/relationships/hyperlink" Target="http://network-industries.org/index.php/network-industries-quarterly-article/vol-16-no-2-2014" TargetMode="External"/><Relationship Id="rId29" Type="http://schemas.openxmlformats.org/officeDocument/2006/relationships/hyperlink" Target="http://www.aer.gov.au/node/28386" TargetMode="External"/><Relationship Id="rId41" Type="http://schemas.openxmlformats.org/officeDocument/2006/relationships/hyperlink" Target="http://www.escosa.sa.gov.au/article/newsdetail.aspx?p=16&amp;id=1306" TargetMode="External"/><Relationship Id="rId54" Type="http://schemas.openxmlformats.org/officeDocument/2006/relationships/hyperlink" Target="http://www.comcom.govt.nz/the-commission/media-centre/media-releases/detail/2014/commerce-commission-suspends-investigation-into-proposed-changes-to-chorus-regulated-uba-service" TargetMode="External"/><Relationship Id="rId62" Type="http://schemas.openxmlformats.org/officeDocument/2006/relationships/footer" Target="footer7.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www.accc.gov.au/media-release/accc-releases-position-statement-on-treatment-of-telstra-nbn-co-arrangements-for-telstras-fixed-line-prices" TargetMode="External"/><Relationship Id="rId32" Type="http://schemas.openxmlformats.org/officeDocument/2006/relationships/hyperlink" Target="http://www.aemc.gov.au/News-Center/What-s-New/Announcements/Extension-to-publication-of-draft-determination-on" TargetMode="External"/><Relationship Id="rId37" Type="http://schemas.openxmlformats.org/officeDocument/2006/relationships/hyperlink" Target="http://www.ipart.nsw.gov.au/Home/About_Us/Annual_Reports/List_of_Annual_Reports/IPART_Annual_Report_201314" TargetMode="External"/><Relationship Id="rId40" Type="http://schemas.openxmlformats.org/officeDocument/2006/relationships/hyperlink" Target="http://www.qca.org.au/Media-Centre/Media-Releases/Media-Releases/2014/Sep/Draft-decision-on-maximum-allowable-revenue" TargetMode="External"/><Relationship Id="rId45" Type="http://schemas.openxmlformats.org/officeDocument/2006/relationships/hyperlink" Target="http://www.esc.vic.gov.au/Energy/Compliance/Energy-Retailers-Compliance-Report-2012-13" TargetMode="External"/><Relationship Id="rId53" Type="http://schemas.openxmlformats.org/officeDocument/2006/relationships/hyperlink" Target="http://www.comcom.govt.nz/the-commission/media-centre/media-releases/detail/2014/commerce-commission-reduces-the-margin-that-it-applies-to-regulated-businesses-cost-of-capital" TargetMode="External"/><Relationship Id="rId58" Type="http://schemas.openxmlformats.org/officeDocument/2006/relationships/hyperlink" Target="http://www.comcom.govt.nz/the-commission/media-centre/media-releases/detail/2014/commission-releases-draft-decisions-on-prices-of-copper-lines-and-broadband-service-for-consultation" TargetMode="External"/><Relationship Id="rId5" Type="http://schemas.microsoft.com/office/2007/relationships/stylesWithEffects" Target="stylesWithEffects.xml"/><Relationship Id="rId15" Type="http://schemas.openxmlformats.org/officeDocument/2006/relationships/header" Target="header3.xml"/><Relationship Id="rId23" Type="http://schemas.openxmlformats.org/officeDocument/2006/relationships/hyperlink" Target="https://www.accc.gov.au/media-release/competition-is-delivering-benefits-on-the-waterfront" TargetMode="External"/><Relationship Id="rId28" Type="http://schemas.openxmlformats.org/officeDocument/2006/relationships/hyperlink" Target="http://www.aer.gov.au/node/28515" TargetMode="External"/><Relationship Id="rId36" Type="http://schemas.openxmlformats.org/officeDocument/2006/relationships/hyperlink" Target="http://www.icrc.act.gov.au/water-and-sewerage/inquiries-and-investigations/" TargetMode="External"/><Relationship Id="rId49" Type="http://schemas.openxmlformats.org/officeDocument/2006/relationships/hyperlink" Target="http://www.erawa.com.au/cproot/12954/2/20141024%20Rail%20WACC%202014%20update%20-%20ERA%20Notice.pdf" TargetMode="External"/><Relationship Id="rId57" Type="http://schemas.openxmlformats.org/officeDocument/2006/relationships/hyperlink" Target="http://www.esc.vic.gov.au/getattachment/3e8e4798-651e-4d11-8f4e-64284224a071/Final-Report-Review-of-Victorian-Ports-Regulation.pdf" TargetMode="External"/><Relationship Id="rId61"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www.wsaa.asn.au/WSAAPublications/Documents/Report%20-%20Improving%20Economic%20Regulation%20of%20Urban%20Water.pdf" TargetMode="External"/><Relationship Id="rId31" Type="http://schemas.openxmlformats.org/officeDocument/2006/relationships/hyperlink" Target="http://www.aer.gov.au/node/27639" TargetMode="External"/><Relationship Id="rId44" Type="http://schemas.openxmlformats.org/officeDocument/2006/relationships/hyperlink" Target="http://www.energyregulator.tas.gov.au/domino/otter.nsf/a08b00d12c2fae17ca256c4c0020929e/c00bdb291d3a0206ca257be3007c45a8?OpenDocument" TargetMode="External"/><Relationship Id="rId52" Type="http://schemas.openxmlformats.org/officeDocument/2006/relationships/hyperlink" Target="http://www.comcom.govt.nz/the-commission/media-centre/media-releases/detail/2014/indicators-for-monitoring-mobile-telecommunications-markets-updated" TargetMode="External"/><Relationship Id="rId60" Type="http://schemas.openxmlformats.org/officeDocument/2006/relationships/hyperlink" Target="mailto:Genevieve.Pound@accc.gov.au" TargetMode="Externa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3.xml"/><Relationship Id="rId22" Type="http://schemas.openxmlformats.org/officeDocument/2006/relationships/footer" Target="footer5.xml"/><Relationship Id="rId27" Type="http://schemas.openxmlformats.org/officeDocument/2006/relationships/hyperlink" Target="http://www.aer.gov.au/node/28551" TargetMode="External"/><Relationship Id="rId30" Type="http://schemas.openxmlformats.org/officeDocument/2006/relationships/hyperlink" Target="http://www.aer.gov.au/node/27641" TargetMode="External"/><Relationship Id="rId35" Type="http://schemas.openxmlformats.org/officeDocument/2006/relationships/hyperlink" Target="http://ncc.gov.au/publications/C41" TargetMode="External"/><Relationship Id="rId43" Type="http://schemas.openxmlformats.org/officeDocument/2006/relationships/hyperlink" Target="http://www.escosa.sa.gov.au/article/newsdetail.aspx?p=16&amp;id=1301" TargetMode="External"/><Relationship Id="rId48" Type="http://schemas.openxmlformats.org/officeDocument/2006/relationships/hyperlink" Target="http://www.erawa.com.au/cproot/12982/2/GGP-GGT-AA3-Issues%20Paper%20-%2003112014%20-%20final%20version.pdf" TargetMode="External"/><Relationship Id="rId56" Type="http://schemas.openxmlformats.org/officeDocument/2006/relationships/hyperlink" Target="http://www.aer.gov.au/node/25078" TargetMode="External"/><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hyperlink" Target="http://www.comcom.govt.nz/the-commission/media-centre/media-releases/detail/2014/commission-releases-draft-decision-on-liability-allocation-for-telecommunications-providers"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www.researchgate.net/publication/264425303_Electricity_transmission_arrangements_in_Great_Britain_Time_for_change" TargetMode="External"/><Relationship Id="rId25" Type="http://schemas.openxmlformats.org/officeDocument/2006/relationships/hyperlink" Target="https://www.accc.gov.au/media-release/accc-exempts-graincorp%E2%80%99s-newcastle-port-terminal-under-new-wheat-code" TargetMode="External"/><Relationship Id="rId33" Type="http://schemas.openxmlformats.org/officeDocument/2006/relationships/hyperlink" Target="http://www.aemc.gov.au/News-Center/What-s-New/Announcements/Connecting-smaller-generators-to-distribution-netw" TargetMode="External"/><Relationship Id="rId38" Type="http://schemas.openxmlformats.org/officeDocument/2006/relationships/hyperlink" Target="http://www.qca.org.au/Media-Centre/Media-Releases/Media-Releases/2014/Oct/An-innovative-approach-to-funding-new-infrastructu" TargetMode="External"/><Relationship Id="rId46" Type="http://schemas.openxmlformats.org/officeDocument/2006/relationships/hyperlink" Target="http://www.erawa.com.au/cproot/13017/2/141129%20Rail%20-%20WACC%20-%20Method%20review%20-%20Notice%20of%20Revised%20Draft%20Decision%20and%20public%20consultation.pdf" TargetMode="External"/><Relationship Id="rId59" Type="http://schemas.openxmlformats.org/officeDocument/2006/relationships/hyperlink" Target="mailto:Robert.Albon@accc.gov.a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59B86-6E5C-49AC-A8C2-3EC0A613E3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9B9EF632.dotm</Template>
  <TotalTime>484</TotalTime>
  <Pages>18</Pages>
  <Words>9526</Words>
  <Characters>60452</Characters>
  <Application>Microsoft Office Word</Application>
  <DocSecurity>0</DocSecurity>
  <Lines>1590</Lines>
  <Paragraphs>291</Paragraphs>
  <ScaleCrop>false</ScaleCrop>
  <HeadingPairs>
    <vt:vector size="2" baseType="variant">
      <vt:variant>
        <vt:lpstr>Title</vt:lpstr>
      </vt:variant>
      <vt:variant>
        <vt:i4>1</vt:i4>
      </vt:variant>
    </vt:vector>
  </HeadingPairs>
  <TitlesOfParts>
    <vt:vector size="1" baseType="lpstr">
      <vt:lpstr>Issue 32 April 2009</vt:lpstr>
    </vt:vector>
  </TitlesOfParts>
  <Company>ACCC</Company>
  <LinksUpToDate>false</LinksUpToDate>
  <CharactersWithSpaces>69687</CharactersWithSpaces>
  <SharedDoc>false</SharedDoc>
  <HLinks>
    <vt:vector size="564" baseType="variant">
      <vt:variant>
        <vt:i4>5505088</vt:i4>
      </vt:variant>
      <vt:variant>
        <vt:i4>264</vt:i4>
      </vt:variant>
      <vt:variant>
        <vt:i4>0</vt:i4>
      </vt:variant>
      <vt:variant>
        <vt:i4>5</vt:i4>
      </vt:variant>
      <vt:variant>
        <vt:lpwstr>http://www.accc.gov.au/about-us/conferences-events/accc/aer-regulatory-conference/accc/aer-regulatory-conference-2013</vt:lpwstr>
      </vt:variant>
      <vt:variant>
        <vt:lpwstr/>
      </vt:variant>
      <vt:variant>
        <vt:i4>1703947</vt:i4>
      </vt:variant>
      <vt:variant>
        <vt:i4>261</vt:i4>
      </vt:variant>
      <vt:variant>
        <vt:i4>0</vt:i4>
      </vt:variant>
      <vt:variant>
        <vt:i4>5</vt:i4>
      </vt:variant>
      <vt:variant>
        <vt:lpwstr>http://www.escosa.sa.gov.au/Publications/DownloadPublication.aspx?id=2503&amp;versionId=2640</vt:lpwstr>
      </vt:variant>
      <vt:variant>
        <vt:lpwstr/>
      </vt:variant>
      <vt:variant>
        <vt:i4>4194371</vt:i4>
      </vt:variant>
      <vt:variant>
        <vt:i4>258</vt:i4>
      </vt:variant>
      <vt:variant>
        <vt:i4>0</vt:i4>
      </vt:variant>
      <vt:variant>
        <vt:i4>5</vt:i4>
      </vt:variant>
      <vt:variant>
        <vt:lpwstr>http://www.qca.org.au/files/ER-ACIL-DraftReport-EWEC201314-RetTariff-0213.pdf</vt:lpwstr>
      </vt:variant>
      <vt:variant>
        <vt:lpwstr/>
      </vt:variant>
      <vt:variant>
        <vt:i4>4128878</vt:i4>
      </vt:variant>
      <vt:variant>
        <vt:i4>255</vt:i4>
      </vt:variant>
      <vt:variant>
        <vt:i4>0</vt:i4>
      </vt:variant>
      <vt:variant>
        <vt:i4>5</vt:i4>
      </vt:variant>
      <vt:variant>
        <vt:lpwstr>http://www.qca.org.au/files/ER-QCA-DraftDeterm-RREP201314-0213.pdf</vt:lpwstr>
      </vt:variant>
      <vt:variant>
        <vt:lpwstr/>
      </vt:variant>
      <vt:variant>
        <vt:i4>3997727</vt:i4>
      </vt:variant>
      <vt:variant>
        <vt:i4>252</vt:i4>
      </vt:variant>
      <vt:variant>
        <vt:i4>0</vt:i4>
      </vt:variant>
      <vt:variant>
        <vt:i4>5</vt:i4>
      </vt:variant>
      <vt:variant>
        <vt:lpwstr>http://www.ipart.nsw.gov.au/Home/Industries/Water/Reviews/Metro_Pricing/Review_of_prices_for_Hunter_Water_Corporation_from_1_July_2013</vt:lpwstr>
      </vt:variant>
      <vt:variant>
        <vt:lpwstr/>
      </vt:variant>
      <vt:variant>
        <vt:i4>3342460</vt:i4>
      </vt:variant>
      <vt:variant>
        <vt:i4>249</vt:i4>
      </vt:variant>
      <vt:variant>
        <vt:i4>0</vt:i4>
      </vt:variant>
      <vt:variant>
        <vt:i4>5</vt:i4>
      </vt:variant>
      <vt:variant>
        <vt:lpwstr>http://www.comcom.govt.nz/media-releases/detail/2013/new-report-tracks-electricity-distributor-trends-2008-2011</vt:lpwstr>
      </vt:variant>
      <vt:variant>
        <vt:lpwstr/>
      </vt:variant>
      <vt:variant>
        <vt:i4>1245191</vt:i4>
      </vt:variant>
      <vt:variant>
        <vt:i4>246</vt:i4>
      </vt:variant>
      <vt:variant>
        <vt:i4>0</vt:i4>
      </vt:variant>
      <vt:variant>
        <vt:i4>5</vt:i4>
      </vt:variant>
      <vt:variant>
        <vt:lpwstr>http://www.comcom.govt.nz/media-releases/detail/2013/commerce-commission-final-report-on-wellington-international-airport-points-to-excessive-profits</vt:lpwstr>
      </vt:variant>
      <vt:variant>
        <vt:lpwstr/>
      </vt:variant>
      <vt:variant>
        <vt:i4>983131</vt:i4>
      </vt:variant>
      <vt:variant>
        <vt:i4>243</vt:i4>
      </vt:variant>
      <vt:variant>
        <vt:i4>0</vt:i4>
      </vt:variant>
      <vt:variant>
        <vt:i4>5</vt:i4>
      </vt:variant>
      <vt:variant>
        <vt:lpwstr>http://www.comcom.govt.nz/media-releases/detail/2013/commerce-commission-sets-prices-and-quality-standards-for-gas-pipeline-services</vt:lpwstr>
      </vt:variant>
      <vt:variant>
        <vt:lpwstr/>
      </vt:variant>
      <vt:variant>
        <vt:i4>131155</vt:i4>
      </vt:variant>
      <vt:variant>
        <vt:i4>240</vt:i4>
      </vt:variant>
      <vt:variant>
        <vt:i4>0</vt:i4>
      </vt:variant>
      <vt:variant>
        <vt:i4>5</vt:i4>
      </vt:variant>
      <vt:variant>
        <vt:lpwstr>http://www.comcom.govt.nz/media-releases/detail/2013/suppliers-providing-telecommunications-services-must-check-liability-for-telecommunications-development-levy</vt:lpwstr>
      </vt:variant>
      <vt:variant>
        <vt:lpwstr/>
      </vt:variant>
      <vt:variant>
        <vt:i4>1966086</vt:i4>
      </vt:variant>
      <vt:variant>
        <vt:i4>237</vt:i4>
      </vt:variant>
      <vt:variant>
        <vt:i4>0</vt:i4>
      </vt:variant>
      <vt:variant>
        <vt:i4>5</vt:i4>
      </vt:variant>
      <vt:variant>
        <vt:lpwstr>http://www.comcom.govt.nz/media-releases/detail/2013/commission-announces-next-step-in-setting-uba-price</vt:lpwstr>
      </vt:variant>
      <vt:variant>
        <vt:lpwstr/>
      </vt:variant>
      <vt:variant>
        <vt:i4>4587586</vt:i4>
      </vt:variant>
      <vt:variant>
        <vt:i4>234</vt:i4>
      </vt:variant>
      <vt:variant>
        <vt:i4>0</vt:i4>
      </vt:variant>
      <vt:variant>
        <vt:i4>5</vt:i4>
      </vt:variant>
      <vt:variant>
        <vt:lpwstr>http://www.comcom.govt.nz/media-releases/detail/2013/commission-approves-amendment-to-costs-transpower-can-recover-for-otahuhu-substation-project</vt:lpwstr>
      </vt:variant>
      <vt:variant>
        <vt:lpwstr/>
      </vt:variant>
      <vt:variant>
        <vt:i4>3932216</vt:i4>
      </vt:variant>
      <vt:variant>
        <vt:i4>231</vt:i4>
      </vt:variant>
      <vt:variant>
        <vt:i4>0</vt:i4>
      </vt:variant>
      <vt:variant>
        <vt:i4>5</vt:i4>
      </vt:variant>
      <vt:variant>
        <vt:lpwstr>http://www.comcom.govt.nz/regulated-industries-media-releases/detail/2013/commission-issues-draft-report-on-auckland-international-airport</vt:lpwstr>
      </vt:variant>
      <vt:variant>
        <vt:lpwstr/>
      </vt:variant>
      <vt:variant>
        <vt:i4>6684788</vt:i4>
      </vt:variant>
      <vt:variant>
        <vt:i4>228</vt:i4>
      </vt:variant>
      <vt:variant>
        <vt:i4>0</vt:i4>
      </vt:variant>
      <vt:variant>
        <vt:i4>5</vt:i4>
      </vt:variant>
      <vt:variant>
        <vt:lpwstr>http://www.erawa.com.au/cproot/11039/2/20121221 - D101413 - Consultation Paper_RoR Guidelines_for publication.pdf</vt:lpwstr>
      </vt:variant>
      <vt:variant>
        <vt:lpwstr/>
      </vt:variant>
      <vt:variant>
        <vt:i4>5242904</vt:i4>
      </vt:variant>
      <vt:variant>
        <vt:i4>225</vt:i4>
      </vt:variant>
      <vt:variant>
        <vt:i4>0</vt:i4>
      </vt:variant>
      <vt:variant>
        <vt:i4>5</vt:i4>
      </vt:variant>
      <vt:variant>
        <vt:lpwstr>http://www.erawa.com.au/cproot/11135/2/20130207 - D101455 - Issues Paper - Railways %28Access%29 Code 2000 - Weighted Average Cost of Capital - WACC Determination - Railway Networks.pdf</vt:lpwstr>
      </vt:variant>
      <vt:variant>
        <vt:lpwstr/>
      </vt:variant>
      <vt:variant>
        <vt:i4>5308495</vt:i4>
      </vt:variant>
      <vt:variant>
        <vt:i4>222</vt:i4>
      </vt:variant>
      <vt:variant>
        <vt:i4>0</vt:i4>
      </vt:variant>
      <vt:variant>
        <vt:i4>5</vt:i4>
      </vt:variant>
      <vt:variant>
        <vt:lpwstr>http://www.erawa.com.au/access/gas-access/guidelines/</vt:lpwstr>
      </vt:variant>
      <vt:variant>
        <vt:lpwstr/>
      </vt:variant>
      <vt:variant>
        <vt:i4>8257655</vt:i4>
      </vt:variant>
      <vt:variant>
        <vt:i4>219</vt:i4>
      </vt:variant>
      <vt:variant>
        <vt:i4>0</vt:i4>
      </vt:variant>
      <vt:variant>
        <vt:i4>5</vt:i4>
      </vt:variant>
      <vt:variant>
        <vt:lpwstr>http://www.esc.vic.gov.au/Water/Return-of-the-Desalination-Over-Collection</vt:lpwstr>
      </vt:variant>
      <vt:variant>
        <vt:lpwstr/>
      </vt:variant>
      <vt:variant>
        <vt:i4>3407996</vt:i4>
      </vt:variant>
      <vt:variant>
        <vt:i4>216</vt:i4>
      </vt:variant>
      <vt:variant>
        <vt:i4>0</vt:i4>
      </vt:variant>
      <vt:variant>
        <vt:i4>5</vt:i4>
      </vt:variant>
      <vt:variant>
        <vt:lpwstr>http://www.esc.vic.gov.au/Water/Water-Price-Review-2013-18</vt:lpwstr>
      </vt:variant>
      <vt:variant>
        <vt:lpwstr/>
      </vt:variant>
      <vt:variant>
        <vt:i4>6946912</vt:i4>
      </vt:variant>
      <vt:variant>
        <vt:i4>213</vt:i4>
      </vt:variant>
      <vt:variant>
        <vt:i4>0</vt:i4>
      </vt:variant>
      <vt:variant>
        <vt:i4>5</vt:i4>
      </vt:variant>
      <vt:variant>
        <vt:lpwstr>http://www.esc.vic.gov.au/getattachment/82f71903-fb8c-4462-9417-156e86793d88/Regional-water-price-review-2013-18-Draft-decision.pdf</vt:lpwstr>
      </vt:variant>
      <vt:variant>
        <vt:lpwstr/>
      </vt:variant>
      <vt:variant>
        <vt:i4>6881329</vt:i4>
      </vt:variant>
      <vt:variant>
        <vt:i4>210</vt:i4>
      </vt:variant>
      <vt:variant>
        <vt:i4>0</vt:i4>
      </vt:variant>
      <vt:variant>
        <vt:i4>5</vt:i4>
      </vt:variant>
      <vt:variant>
        <vt:lpwstr>http://www.esc.vic.gov.au/getattachment/4594ef0b-602a-4750-bd1c-74faaf65a4e8/Regional-water-price-review-2013-18-Draft-decision.pdf</vt:lpwstr>
      </vt:variant>
      <vt:variant>
        <vt:lpwstr/>
      </vt:variant>
      <vt:variant>
        <vt:i4>524356</vt:i4>
      </vt:variant>
      <vt:variant>
        <vt:i4>207</vt:i4>
      </vt:variant>
      <vt:variant>
        <vt:i4>0</vt:i4>
      </vt:variant>
      <vt:variant>
        <vt:i4>5</vt:i4>
      </vt:variant>
      <vt:variant>
        <vt:lpwstr>http://www.energyregulator.tas.gov.au/domino/otter.nsf/LookupFiles/13254_Media_release_2011-12_Energy_in_Tasmania_Performance_Report_130123.pdf/$file/13254_Media_release_2011-12_Energy_in_Tasmania_Performance_Report_130123.pdf</vt:lpwstr>
      </vt:variant>
      <vt:variant>
        <vt:lpwstr/>
      </vt:variant>
      <vt:variant>
        <vt:i4>5832830</vt:i4>
      </vt:variant>
      <vt:variant>
        <vt:i4>204</vt:i4>
      </vt:variant>
      <vt:variant>
        <vt:i4>0</vt:i4>
      </vt:variant>
      <vt:variant>
        <vt:i4>5</vt:i4>
      </vt:variant>
      <vt:variant>
        <vt:lpwstr>http://www.energyregulator.tas.gov.au/domino/otter.nsf/LookupFiles/13569_Water_and_Sewerage_Accounting_Ringfencing_Guideline_and_Templates_Consultation_Paper_14_February_2013.pdf/$file/13569_Water_and_Sewerage_Accounting_Ringfencing_Guideline_and_Templates_Consultation_Paper_14_February_2013.pdf</vt:lpwstr>
      </vt:variant>
      <vt:variant>
        <vt:lpwstr/>
      </vt:variant>
      <vt:variant>
        <vt:i4>2228329</vt:i4>
      </vt:variant>
      <vt:variant>
        <vt:i4>201</vt:i4>
      </vt:variant>
      <vt:variant>
        <vt:i4>0</vt:i4>
      </vt:variant>
      <vt:variant>
        <vt:i4>5</vt:i4>
      </vt:variant>
      <vt:variant>
        <vt:lpwstr>http://www.economicregulator.tas.gov.au/domino/otter.nsf/8f46477f11c891c7ca256c4b001b41f2/6c7eb162b699fea6ca257b47001f66b4?OpenDocument</vt:lpwstr>
      </vt:variant>
      <vt:variant>
        <vt:lpwstr/>
      </vt:variant>
      <vt:variant>
        <vt:i4>2293861</vt:i4>
      </vt:variant>
      <vt:variant>
        <vt:i4>198</vt:i4>
      </vt:variant>
      <vt:variant>
        <vt:i4>0</vt:i4>
      </vt:variant>
      <vt:variant>
        <vt:i4>5</vt:i4>
      </vt:variant>
      <vt:variant>
        <vt:lpwstr>http://www.economicregulator.tas.gov.au/domino/otter.nsf/8f46477f11c891c7ca256c4b001b41f2/02ba4c0a625a80c4ca257a8b000cc718?OpenDocument</vt:lpwstr>
      </vt:variant>
      <vt:variant>
        <vt:lpwstr/>
      </vt:variant>
      <vt:variant>
        <vt:i4>3080302</vt:i4>
      </vt:variant>
      <vt:variant>
        <vt:i4>195</vt:i4>
      </vt:variant>
      <vt:variant>
        <vt:i4>0</vt:i4>
      </vt:variant>
      <vt:variant>
        <vt:i4>5</vt:i4>
      </vt:variant>
      <vt:variant>
        <vt:lpwstr>http://www.economicregulator.tas.gov.au/domino/otter.nsf/LookupFiles/13979_Media_Release_2013_Price_Comparison_Report_April_2013.PDF/$file/13979_Media_Release_2013_Price_Comparison_Report_April_2013.PDF</vt:lpwstr>
      </vt:variant>
      <vt:variant>
        <vt:lpwstr/>
      </vt:variant>
      <vt:variant>
        <vt:i4>4390986</vt:i4>
      </vt:variant>
      <vt:variant>
        <vt:i4>192</vt:i4>
      </vt:variant>
      <vt:variant>
        <vt:i4>0</vt:i4>
      </vt:variant>
      <vt:variant>
        <vt:i4>5</vt:i4>
      </vt:variant>
      <vt:variant>
        <vt:lpwstr>http://www.escosa.sa.gov.au/library/130312-PostNECFReviewRegulatoryInstruments-FactSheet.pdf</vt:lpwstr>
      </vt:variant>
      <vt:variant>
        <vt:lpwstr/>
      </vt:variant>
      <vt:variant>
        <vt:i4>1966096</vt:i4>
      </vt:variant>
      <vt:variant>
        <vt:i4>189</vt:i4>
      </vt:variant>
      <vt:variant>
        <vt:i4>0</vt:i4>
      </vt:variant>
      <vt:variant>
        <vt:i4>5</vt:i4>
      </vt:variant>
      <vt:variant>
        <vt:lpwstr>http://www.escosa.sa.gov.au/article/newsdetail.aspx?p=16&amp;id=1106</vt:lpwstr>
      </vt:variant>
      <vt:variant>
        <vt:lpwstr/>
      </vt:variant>
      <vt:variant>
        <vt:i4>1966096</vt:i4>
      </vt:variant>
      <vt:variant>
        <vt:i4>186</vt:i4>
      </vt:variant>
      <vt:variant>
        <vt:i4>0</vt:i4>
      </vt:variant>
      <vt:variant>
        <vt:i4>5</vt:i4>
      </vt:variant>
      <vt:variant>
        <vt:lpwstr>http://www.escosa.sa.gov.au/article/newsdetail.aspx?p=16&amp;id=1106</vt:lpwstr>
      </vt:variant>
      <vt:variant>
        <vt:lpwstr/>
      </vt:variant>
      <vt:variant>
        <vt:i4>1114128</vt:i4>
      </vt:variant>
      <vt:variant>
        <vt:i4>183</vt:i4>
      </vt:variant>
      <vt:variant>
        <vt:i4>0</vt:i4>
      </vt:variant>
      <vt:variant>
        <vt:i4>5</vt:i4>
      </vt:variant>
      <vt:variant>
        <vt:lpwstr>http://www.escosa.sa.gov.au/article/newsdetail.aspx?p=16&amp;id=1109</vt:lpwstr>
      </vt:variant>
      <vt:variant>
        <vt:lpwstr/>
      </vt:variant>
      <vt:variant>
        <vt:i4>1703953</vt:i4>
      </vt:variant>
      <vt:variant>
        <vt:i4>180</vt:i4>
      </vt:variant>
      <vt:variant>
        <vt:i4>0</vt:i4>
      </vt:variant>
      <vt:variant>
        <vt:i4>5</vt:i4>
      </vt:variant>
      <vt:variant>
        <vt:lpwstr>http://www.escosa.sa.gov.au/article/newsdetail.aspx?p=16&amp;id=1112</vt:lpwstr>
      </vt:variant>
      <vt:variant>
        <vt:lpwstr/>
      </vt:variant>
      <vt:variant>
        <vt:i4>1900561</vt:i4>
      </vt:variant>
      <vt:variant>
        <vt:i4>177</vt:i4>
      </vt:variant>
      <vt:variant>
        <vt:i4>0</vt:i4>
      </vt:variant>
      <vt:variant>
        <vt:i4>5</vt:i4>
      </vt:variant>
      <vt:variant>
        <vt:lpwstr>http://www.escosa.sa.gov.au/article/newsdetail.aspx?p=16&amp;id=1115</vt:lpwstr>
      </vt:variant>
      <vt:variant>
        <vt:lpwstr/>
      </vt:variant>
      <vt:variant>
        <vt:i4>131155</vt:i4>
      </vt:variant>
      <vt:variant>
        <vt:i4>174</vt:i4>
      </vt:variant>
      <vt:variant>
        <vt:i4>0</vt:i4>
      </vt:variant>
      <vt:variant>
        <vt:i4>5</vt:i4>
      </vt:variant>
      <vt:variant>
        <vt:lpwstr>http://www.escosa.sa.gov.au/projects/projectdetails.aspx?p=69&amp;id=192</vt:lpwstr>
      </vt:variant>
      <vt:variant>
        <vt:lpwstr/>
      </vt:variant>
      <vt:variant>
        <vt:i4>5373963</vt:i4>
      </vt:variant>
      <vt:variant>
        <vt:i4>171</vt:i4>
      </vt:variant>
      <vt:variant>
        <vt:i4>0</vt:i4>
      </vt:variant>
      <vt:variant>
        <vt:i4>5</vt:i4>
      </vt:variant>
      <vt:variant>
        <vt:lpwstr>http://www.qca.org.au/water/SEQRetailPriceMon201315/</vt:lpwstr>
      </vt:variant>
      <vt:variant>
        <vt:lpwstr/>
      </vt:variant>
      <vt:variant>
        <vt:i4>2621549</vt:i4>
      </vt:variant>
      <vt:variant>
        <vt:i4>168</vt:i4>
      </vt:variant>
      <vt:variant>
        <vt:i4>0</vt:i4>
      </vt:variant>
      <vt:variant>
        <vt:i4>5</vt:i4>
      </vt:variant>
      <vt:variant>
        <vt:lpwstr>http://www.qca.org.au/files/R-QCA-IssuesPaper-SUFADAAU2012-0213.pdf</vt:lpwstr>
      </vt:variant>
      <vt:variant>
        <vt:lpwstr/>
      </vt:variant>
      <vt:variant>
        <vt:i4>1179735</vt:i4>
      </vt:variant>
      <vt:variant>
        <vt:i4>165</vt:i4>
      </vt:variant>
      <vt:variant>
        <vt:i4>0</vt:i4>
      </vt:variant>
      <vt:variant>
        <vt:i4>5</vt:i4>
      </vt:variant>
      <vt:variant>
        <vt:lpwstr>http://www.qca.org.au/water/SEQIrrigPrices/issuesarising2.php</vt:lpwstr>
      </vt:variant>
      <vt:variant>
        <vt:lpwstr/>
      </vt:variant>
      <vt:variant>
        <vt:i4>7405603</vt:i4>
      </vt:variant>
      <vt:variant>
        <vt:i4>162</vt:i4>
      </vt:variant>
      <vt:variant>
        <vt:i4>0</vt:i4>
      </vt:variant>
      <vt:variant>
        <vt:i4>5</vt:i4>
      </vt:variant>
      <vt:variant>
        <vt:lpwstr>http://www.qca.org.au/files/OBPR-GOV-FinalReport-MRBR-0313.pdf</vt:lpwstr>
      </vt:variant>
      <vt:variant>
        <vt:lpwstr/>
      </vt:variant>
      <vt:variant>
        <vt:i4>2490400</vt:i4>
      </vt:variant>
      <vt:variant>
        <vt:i4>159</vt:i4>
      </vt:variant>
      <vt:variant>
        <vt:i4>0</vt:i4>
      </vt:variant>
      <vt:variant>
        <vt:i4>5</vt:i4>
      </vt:variant>
      <vt:variant>
        <vt:lpwstr>http://www.qca.org.au/rail/2010-DAUamend/PropSndRailConAgr/</vt:lpwstr>
      </vt:variant>
      <vt:variant>
        <vt:lpwstr/>
      </vt:variant>
      <vt:variant>
        <vt:i4>7667720</vt:i4>
      </vt:variant>
      <vt:variant>
        <vt:i4>156</vt:i4>
      </vt:variant>
      <vt:variant>
        <vt:i4>0</vt:i4>
      </vt:variant>
      <vt:variant>
        <vt:i4>5</vt:i4>
      </vt:variant>
      <vt:variant>
        <vt:lpwstr>http://www.qca.org.au/electricity-retail/Review_Of_Solar_Feed/FinalReport.php</vt:lpwstr>
      </vt:variant>
      <vt:variant>
        <vt:lpwstr/>
      </vt:variant>
      <vt:variant>
        <vt:i4>1703962</vt:i4>
      </vt:variant>
      <vt:variant>
        <vt:i4>153</vt:i4>
      </vt:variant>
      <vt:variant>
        <vt:i4>0</vt:i4>
      </vt:variant>
      <vt:variant>
        <vt:i4>5</vt:i4>
      </vt:variant>
      <vt:variant>
        <vt:lpwstr>http://www.qca.org.au/water/SEQRetailPriceMon/1213review.php</vt:lpwstr>
      </vt:variant>
      <vt:variant>
        <vt:lpwstr/>
      </vt:variant>
      <vt:variant>
        <vt:i4>6422573</vt:i4>
      </vt:variant>
      <vt:variant>
        <vt:i4>150</vt:i4>
      </vt:variant>
      <vt:variant>
        <vt:i4>0</vt:i4>
      </vt:variant>
      <vt:variant>
        <vt:i4>5</vt:i4>
      </vt:variant>
      <vt:variant>
        <vt:lpwstr>http://www.qca.org.au/rail/2010-DAUamend/GAPEDAAU/</vt:lpwstr>
      </vt:variant>
      <vt:variant>
        <vt:lpwstr/>
      </vt:variant>
      <vt:variant>
        <vt:i4>1245254</vt:i4>
      </vt:variant>
      <vt:variant>
        <vt:i4>147</vt:i4>
      </vt:variant>
      <vt:variant>
        <vt:i4>0</vt:i4>
      </vt:variant>
      <vt:variant>
        <vt:i4>5</vt:i4>
      </vt:variant>
      <vt:variant>
        <vt:lpwstr>http://www.qca.org.au/rail/2010-DAUamend/ANEDAAUAPR2013/</vt:lpwstr>
      </vt:variant>
      <vt:variant>
        <vt:lpwstr/>
      </vt:variant>
      <vt:variant>
        <vt:i4>1900555</vt:i4>
      </vt:variant>
      <vt:variant>
        <vt:i4>144</vt:i4>
      </vt:variant>
      <vt:variant>
        <vt:i4>0</vt:i4>
      </vt:variant>
      <vt:variant>
        <vt:i4>5</vt:i4>
      </vt:variant>
      <vt:variant>
        <vt:lpwstr>http://www.utilicom.nt.gov.au/PMS/Publications/VS130218 - Media Release Commission February 2013.pdf</vt:lpwstr>
      </vt:variant>
      <vt:variant>
        <vt:lpwstr/>
      </vt:variant>
      <vt:variant>
        <vt:i4>8061055</vt:i4>
      </vt:variant>
      <vt:variant>
        <vt:i4>141</vt:i4>
      </vt:variant>
      <vt:variant>
        <vt:i4>0</vt:i4>
      </vt:variant>
      <vt:variant>
        <vt:i4>5</vt:i4>
      </vt:variant>
      <vt:variant>
        <vt:lpwstr>http://www.utilicom.nt.gov.au/Newsroom/Lists/Posts/Post.aspx?ID=153</vt:lpwstr>
      </vt:variant>
      <vt:variant>
        <vt:lpwstr/>
      </vt:variant>
      <vt:variant>
        <vt:i4>1835095</vt:i4>
      </vt:variant>
      <vt:variant>
        <vt:i4>138</vt:i4>
      </vt:variant>
      <vt:variant>
        <vt:i4>0</vt:i4>
      </vt:variant>
      <vt:variant>
        <vt:i4>5</vt:i4>
      </vt:variant>
      <vt:variant>
        <vt:lpwstr>http://www.ipart.nsw.gov.au/Home/Industries/Water/Private_Sector_Licensing_WICA/WICA_Static_Links/IPARTs_Submission_-_Review_of_WIC_Act_and_regulatory_arrangements_for_recycled_water_-_February_2013</vt:lpwstr>
      </vt:variant>
      <vt:variant>
        <vt:lpwstr/>
      </vt:variant>
      <vt:variant>
        <vt:i4>1441857</vt:i4>
      </vt:variant>
      <vt:variant>
        <vt:i4>135</vt:i4>
      </vt:variant>
      <vt:variant>
        <vt:i4>0</vt:i4>
      </vt:variant>
      <vt:variant>
        <vt:i4>5</vt:i4>
      </vt:variant>
      <vt:variant>
        <vt:lpwstr>http://www.ipart.nsw.gov.au/Home/Industries/Water/Reviews/Metro_Pricing/Review_of_prices_for_Gosford_City_Council_and_Wyong_Shire_Council_from_1_July_2013/19_Feb_2013_-_Draft_Report/Draft_Report_-_Gosford_City_Council_and_Wyong_Shire_Council_-_Prices_for_water_sewerage_and_stormwater_drainage_services_from_1_July_2013_to_30_June_2017_-_February_2013</vt:lpwstr>
      </vt:variant>
      <vt:variant>
        <vt:lpwstr/>
      </vt:variant>
      <vt:variant>
        <vt:i4>4915223</vt:i4>
      </vt:variant>
      <vt:variant>
        <vt:i4>132</vt:i4>
      </vt:variant>
      <vt:variant>
        <vt:i4>0</vt:i4>
      </vt:variant>
      <vt:variant>
        <vt:i4>5</vt:i4>
      </vt:variant>
      <vt:variant>
        <vt:lpwstr>http://www.ipart.nsw.gov.au/Home/Industries/Water/Reviews/Licensing_-_State_Water_Corporation/End_of_Term_Review_of_State_Water_Operating_Licence_2012-2013/20_Feb_2013_-_Fact_Sheet_-_Draft_Operating_Licence/Fact_Sheet_-_State_Waters_Operating_Licence_-_sum</vt:lpwstr>
      </vt:variant>
      <vt:variant>
        <vt:lpwstr/>
      </vt:variant>
      <vt:variant>
        <vt:i4>6422529</vt:i4>
      </vt:variant>
      <vt:variant>
        <vt:i4>129</vt:i4>
      </vt:variant>
      <vt:variant>
        <vt:i4>0</vt:i4>
      </vt:variant>
      <vt:variant>
        <vt:i4>5</vt:i4>
      </vt:variant>
      <vt:variant>
        <vt:lpwstr>http://www.ipart.nsw.gov.au/Home/Industries/Water/Reviews/Rural_Water/Review_of_prices_for_the_Water_Administration_Ministerial_Corportation_commencing_1_July_2014</vt:lpwstr>
      </vt:variant>
      <vt:variant>
        <vt:lpwstr/>
      </vt:variant>
      <vt:variant>
        <vt:i4>5701637</vt:i4>
      </vt:variant>
      <vt:variant>
        <vt:i4>126</vt:i4>
      </vt:variant>
      <vt:variant>
        <vt:i4>0</vt:i4>
      </vt:variant>
      <vt:variant>
        <vt:i4>5</vt:i4>
      </vt:variant>
      <vt:variant>
        <vt:lpwstr>http://www.ipart.nsw.gov.au/Home/Industries/Water/Reviews/Compliance/Review_of_Energy_and_Water_Compliance_Policy</vt:lpwstr>
      </vt:variant>
      <vt:variant>
        <vt:lpwstr/>
      </vt:variant>
      <vt:variant>
        <vt:i4>6226017</vt:i4>
      </vt:variant>
      <vt:variant>
        <vt:i4>123</vt:i4>
      </vt:variant>
      <vt:variant>
        <vt:i4>0</vt:i4>
      </vt:variant>
      <vt:variant>
        <vt:i4>5</vt:i4>
      </vt:variant>
      <vt:variant>
        <vt:lpwstr>http://www.ipart.nsw.gov.au/Home/Industries/Gas/Reviews/Retail_Pricing/Review_of_regulated_gas_retail_prices_2013_to_2016/23_Apr_2013_-_Draft_Report_-_Review_of_regulated_retail_prices_and_charges_for_gas_2013_to_2016/Draft_Report_-_Review_of_regulated_ret</vt:lpwstr>
      </vt:variant>
      <vt:variant>
        <vt:lpwstr/>
      </vt:variant>
      <vt:variant>
        <vt:i4>6029437</vt:i4>
      </vt:variant>
      <vt:variant>
        <vt:i4>120</vt:i4>
      </vt:variant>
      <vt:variant>
        <vt:i4>0</vt:i4>
      </vt:variant>
      <vt:variant>
        <vt:i4>5</vt:i4>
      </vt:variant>
      <vt:variant>
        <vt:lpwstr>http://www.ipart.nsw.gov.au/Home/Industries/Electricity/Reviews/Retail_Pricing/Review_of_regulated_electricity_retail_prices_2013_to_2016/23_Apr_2013_-_Draft_Report_-_Review_of_regulated_retail_prices_for_electricity_2013_to_2016/Draft_Report_-_Review_of_r</vt:lpwstr>
      </vt:variant>
      <vt:variant>
        <vt:lpwstr/>
      </vt:variant>
      <vt:variant>
        <vt:i4>5832813</vt:i4>
      </vt:variant>
      <vt:variant>
        <vt:i4>117</vt:i4>
      </vt:variant>
      <vt:variant>
        <vt:i4>0</vt:i4>
      </vt:variant>
      <vt:variant>
        <vt:i4>5</vt:i4>
      </vt:variant>
      <vt:variant>
        <vt:lpwstr>http://www.ipart.nsw.gov.au/Home/Industries/Water/Reviews/Licensing_-_State_Water_Corporation/End_of_Term_Review_of_State_Water_Operating_Licence_2012-2013</vt:lpwstr>
      </vt:variant>
      <vt:variant>
        <vt:lpwstr/>
      </vt:variant>
      <vt:variant>
        <vt:i4>1114133</vt:i4>
      </vt:variant>
      <vt:variant>
        <vt:i4>114</vt:i4>
      </vt:variant>
      <vt:variant>
        <vt:i4>0</vt:i4>
      </vt:variant>
      <vt:variant>
        <vt:i4>5</vt:i4>
      </vt:variant>
      <vt:variant>
        <vt:lpwstr>http://www.icrc.act.gov.au/__data/assets/pdf_file/0004/262165/MediaRelease_20130226.pdf</vt:lpwstr>
      </vt:variant>
      <vt:variant>
        <vt:lpwstr/>
      </vt:variant>
      <vt:variant>
        <vt:i4>7995430</vt:i4>
      </vt:variant>
      <vt:variant>
        <vt:i4>111</vt:i4>
      </vt:variant>
      <vt:variant>
        <vt:i4>0</vt:i4>
      </vt:variant>
      <vt:variant>
        <vt:i4>5</vt:i4>
      </vt:variant>
      <vt:variant>
        <vt:lpwstr>http://www.icrc.act.gov.au/wp-content/uploads/2013/02/Media-Release-EPC-Information-Paper-22-April-2013.pdf</vt:lpwstr>
      </vt:variant>
      <vt:variant>
        <vt:lpwstr/>
      </vt:variant>
      <vt:variant>
        <vt:i4>5177359</vt:i4>
      </vt:variant>
      <vt:variant>
        <vt:i4>108</vt:i4>
      </vt:variant>
      <vt:variant>
        <vt:i4>0</vt:i4>
      </vt:variant>
      <vt:variant>
        <vt:i4>5</vt:i4>
      </vt:variant>
      <vt:variant>
        <vt:lpwstr>http://www.icrc.act.gov.au/water-and-sewerage/</vt:lpwstr>
      </vt:variant>
      <vt:variant>
        <vt:lpwstr>price-direction-supply-of-regulated-water-and-sewerage-services</vt:lpwstr>
      </vt:variant>
      <vt:variant>
        <vt:i4>3211322</vt:i4>
      </vt:variant>
      <vt:variant>
        <vt:i4>105</vt:i4>
      </vt:variant>
      <vt:variant>
        <vt:i4>0</vt:i4>
      </vt:variant>
      <vt:variant>
        <vt:i4>5</vt:i4>
      </vt:variant>
      <vt:variant>
        <vt:lpwstr>http://www.aemc.gov.au/electricity/rule-changes/open/changes-to-cost-allocation-method.html</vt:lpwstr>
      </vt:variant>
      <vt:variant>
        <vt:lpwstr/>
      </vt:variant>
      <vt:variant>
        <vt:i4>7602232</vt:i4>
      </vt:variant>
      <vt:variant>
        <vt:i4>102</vt:i4>
      </vt:variant>
      <vt:variant>
        <vt:i4>0</vt:i4>
      </vt:variant>
      <vt:variant>
        <vt:i4>5</vt:i4>
      </vt:variant>
      <vt:variant>
        <vt:lpwstr>http://www.aemc.gov.au/News/Whats-New/national-approach-to-recovers-costs-of-using-transmission-assets-across-regions.html</vt:lpwstr>
      </vt:variant>
      <vt:variant>
        <vt:lpwstr/>
      </vt:variant>
      <vt:variant>
        <vt:i4>1376256</vt:i4>
      </vt:variant>
      <vt:variant>
        <vt:i4>99</vt:i4>
      </vt:variant>
      <vt:variant>
        <vt:i4>0</vt:i4>
      </vt:variant>
      <vt:variant>
        <vt:i4>5</vt:i4>
      </vt:variant>
      <vt:variant>
        <vt:lpwstr>http://www.aemc.gov.au/Redirect.aspx?cid=b2aff0a6-4841-40d4-9445-f26b95647d97</vt:lpwstr>
      </vt:variant>
      <vt:variant>
        <vt:lpwstr/>
      </vt:variant>
      <vt:variant>
        <vt:i4>5505102</vt:i4>
      </vt:variant>
      <vt:variant>
        <vt:i4>96</vt:i4>
      </vt:variant>
      <vt:variant>
        <vt:i4>0</vt:i4>
      </vt:variant>
      <vt:variant>
        <vt:i4>5</vt:i4>
      </vt:variant>
      <vt:variant>
        <vt:lpwstr>http://www.aemc.gov.au/News/Whats-New/household-electricity-price-trends.html</vt:lpwstr>
      </vt:variant>
      <vt:variant>
        <vt:lpwstr/>
      </vt:variant>
      <vt:variant>
        <vt:i4>3014763</vt:i4>
      </vt:variant>
      <vt:variant>
        <vt:i4>93</vt:i4>
      </vt:variant>
      <vt:variant>
        <vt:i4>0</vt:i4>
      </vt:variant>
      <vt:variant>
        <vt:i4>5</vt:i4>
      </vt:variant>
      <vt:variant>
        <vt:lpwstr>http://www.aemc.gov.au/News/Whats-New/final-report-published-on-annual-market-performance-review-2012.html</vt:lpwstr>
      </vt:variant>
      <vt:variant>
        <vt:lpwstr/>
      </vt:variant>
      <vt:variant>
        <vt:i4>8192052</vt:i4>
      </vt:variant>
      <vt:variant>
        <vt:i4>90</vt:i4>
      </vt:variant>
      <vt:variant>
        <vt:i4>0</vt:i4>
      </vt:variant>
      <vt:variant>
        <vt:i4>5</vt:i4>
      </vt:variant>
      <vt:variant>
        <vt:lpwstr>http://www.aemc.gov.au/News/Whats-New/issues-paper-published-on-the-review-of-the-national-framework-for-transmission-reliability.html</vt:lpwstr>
      </vt:variant>
      <vt:variant>
        <vt:lpwstr/>
      </vt:variant>
      <vt:variant>
        <vt:i4>786520</vt:i4>
      </vt:variant>
      <vt:variant>
        <vt:i4>87</vt:i4>
      </vt:variant>
      <vt:variant>
        <vt:i4>0</vt:i4>
      </vt:variant>
      <vt:variant>
        <vt:i4>5</vt:i4>
      </vt:variant>
      <vt:variant>
        <vt:lpwstr>http://www.aemc.gov.au/News/Whats-New/the-aemc-publishes-the-final-report-of-the-transmission-frameworks-review.html</vt:lpwstr>
      </vt:variant>
      <vt:variant>
        <vt:lpwstr/>
      </vt:variant>
      <vt:variant>
        <vt:i4>8323195</vt:i4>
      </vt:variant>
      <vt:variant>
        <vt:i4>84</vt:i4>
      </vt:variant>
      <vt:variant>
        <vt:i4>0</vt:i4>
      </vt:variant>
      <vt:variant>
        <vt:i4>5</vt:i4>
      </vt:variant>
      <vt:variant>
        <vt:lpwstr>http://www.aemc.gov.au/News/Whats-New/aemc-strategic-priorities-discussion-paper-stakeholder-views-sought-on-proposed-priorities-.html</vt:lpwstr>
      </vt:variant>
      <vt:variant>
        <vt:lpwstr/>
      </vt:variant>
      <vt:variant>
        <vt:i4>4915267</vt:i4>
      </vt:variant>
      <vt:variant>
        <vt:i4>81</vt:i4>
      </vt:variant>
      <vt:variant>
        <vt:i4>0</vt:i4>
      </vt:variant>
      <vt:variant>
        <vt:i4>5</vt:i4>
      </vt:variant>
      <vt:variant>
        <vt:lpwstr>http://www.ncc.gov.au/index.php/application/application_for_coverage_of_the_south_eastern_pipeline_system</vt:lpwstr>
      </vt:variant>
      <vt:variant>
        <vt:lpwstr/>
      </vt:variant>
      <vt:variant>
        <vt:i4>8257623</vt:i4>
      </vt:variant>
      <vt:variant>
        <vt:i4>78</vt:i4>
      </vt:variant>
      <vt:variant>
        <vt:i4>0</vt:i4>
      </vt:variant>
      <vt:variant>
        <vt:i4>5</vt:i4>
      </vt:variant>
      <vt:variant>
        <vt:lpwstr>http://www.ncc.gov.au/index.php/application/application_for_a_15-year_no-coverage_determination_for_proposed_glng_pipel</vt:lpwstr>
      </vt:variant>
      <vt:variant>
        <vt:lpwstr/>
      </vt:variant>
      <vt:variant>
        <vt:i4>5505031</vt:i4>
      </vt:variant>
      <vt:variant>
        <vt:i4>75</vt:i4>
      </vt:variant>
      <vt:variant>
        <vt:i4>0</vt:i4>
      </vt:variant>
      <vt:variant>
        <vt:i4>5</vt:i4>
      </vt:variant>
      <vt:variant>
        <vt:lpwstr>http://www.aer.gov.au/node/19048</vt:lpwstr>
      </vt:variant>
      <vt:variant>
        <vt:lpwstr/>
      </vt:variant>
      <vt:variant>
        <vt:i4>5898240</vt:i4>
      </vt:variant>
      <vt:variant>
        <vt:i4>72</vt:i4>
      </vt:variant>
      <vt:variant>
        <vt:i4>0</vt:i4>
      </vt:variant>
      <vt:variant>
        <vt:i4>5</vt:i4>
      </vt:variant>
      <vt:variant>
        <vt:lpwstr>http://www.aer.gov.au/node/19234</vt:lpwstr>
      </vt:variant>
      <vt:variant>
        <vt:lpwstr/>
      </vt:variant>
      <vt:variant>
        <vt:i4>5767174</vt:i4>
      </vt:variant>
      <vt:variant>
        <vt:i4>69</vt:i4>
      </vt:variant>
      <vt:variant>
        <vt:i4>0</vt:i4>
      </vt:variant>
      <vt:variant>
        <vt:i4>5</vt:i4>
      </vt:variant>
      <vt:variant>
        <vt:lpwstr>http://www.aer.gov.au/node/19357</vt:lpwstr>
      </vt:variant>
      <vt:variant>
        <vt:lpwstr/>
      </vt:variant>
      <vt:variant>
        <vt:i4>5308420</vt:i4>
      </vt:variant>
      <vt:variant>
        <vt:i4>66</vt:i4>
      </vt:variant>
      <vt:variant>
        <vt:i4>0</vt:i4>
      </vt:variant>
      <vt:variant>
        <vt:i4>5</vt:i4>
      </vt:variant>
      <vt:variant>
        <vt:lpwstr>http://www.aer.gov.au/node/19578</vt:lpwstr>
      </vt:variant>
      <vt:variant>
        <vt:lpwstr/>
      </vt:variant>
      <vt:variant>
        <vt:i4>6160387</vt:i4>
      </vt:variant>
      <vt:variant>
        <vt:i4>63</vt:i4>
      </vt:variant>
      <vt:variant>
        <vt:i4>0</vt:i4>
      </vt:variant>
      <vt:variant>
        <vt:i4>5</vt:i4>
      </vt:variant>
      <vt:variant>
        <vt:lpwstr>http://www.aer.gov.au/node/19604</vt:lpwstr>
      </vt:variant>
      <vt:variant>
        <vt:lpwstr/>
      </vt:variant>
      <vt:variant>
        <vt:i4>6094852</vt:i4>
      </vt:variant>
      <vt:variant>
        <vt:i4>60</vt:i4>
      </vt:variant>
      <vt:variant>
        <vt:i4>0</vt:i4>
      </vt:variant>
      <vt:variant>
        <vt:i4>5</vt:i4>
      </vt:variant>
      <vt:variant>
        <vt:lpwstr>http://www.aer.gov.au/node/19677</vt:lpwstr>
      </vt:variant>
      <vt:variant>
        <vt:lpwstr/>
      </vt:variant>
      <vt:variant>
        <vt:i4>6029322</vt:i4>
      </vt:variant>
      <vt:variant>
        <vt:i4>57</vt:i4>
      </vt:variant>
      <vt:variant>
        <vt:i4>0</vt:i4>
      </vt:variant>
      <vt:variant>
        <vt:i4>5</vt:i4>
      </vt:variant>
      <vt:variant>
        <vt:lpwstr>http://www.aer.gov.au/node/20003</vt:lpwstr>
      </vt:variant>
      <vt:variant>
        <vt:lpwstr/>
      </vt:variant>
      <vt:variant>
        <vt:i4>6225931</vt:i4>
      </vt:variant>
      <vt:variant>
        <vt:i4>54</vt:i4>
      </vt:variant>
      <vt:variant>
        <vt:i4>0</vt:i4>
      </vt:variant>
      <vt:variant>
        <vt:i4>5</vt:i4>
      </vt:variant>
      <vt:variant>
        <vt:lpwstr>http://www.aer.gov.au/node/20010</vt:lpwstr>
      </vt:variant>
      <vt:variant>
        <vt:lpwstr/>
      </vt:variant>
      <vt:variant>
        <vt:i4>6094856</vt:i4>
      </vt:variant>
      <vt:variant>
        <vt:i4>51</vt:i4>
      </vt:variant>
      <vt:variant>
        <vt:i4>0</vt:i4>
      </vt:variant>
      <vt:variant>
        <vt:i4>5</vt:i4>
      </vt:variant>
      <vt:variant>
        <vt:lpwstr>http://www.aer.gov.au/node/20022</vt:lpwstr>
      </vt:variant>
      <vt:variant>
        <vt:lpwstr/>
      </vt:variant>
      <vt:variant>
        <vt:i4>5701643</vt:i4>
      </vt:variant>
      <vt:variant>
        <vt:i4>48</vt:i4>
      </vt:variant>
      <vt:variant>
        <vt:i4>0</vt:i4>
      </vt:variant>
      <vt:variant>
        <vt:i4>5</vt:i4>
      </vt:variant>
      <vt:variant>
        <vt:lpwstr>http://www.aer.gov.au/node/20018</vt:lpwstr>
      </vt:variant>
      <vt:variant>
        <vt:lpwstr/>
      </vt:variant>
      <vt:variant>
        <vt:i4>6160395</vt:i4>
      </vt:variant>
      <vt:variant>
        <vt:i4>45</vt:i4>
      </vt:variant>
      <vt:variant>
        <vt:i4>0</vt:i4>
      </vt:variant>
      <vt:variant>
        <vt:i4>5</vt:i4>
      </vt:variant>
      <vt:variant>
        <vt:lpwstr>http://www.aer.gov.au/node/20011</vt:lpwstr>
      </vt:variant>
      <vt:variant>
        <vt:lpwstr/>
      </vt:variant>
      <vt:variant>
        <vt:i4>5636107</vt:i4>
      </vt:variant>
      <vt:variant>
        <vt:i4>42</vt:i4>
      </vt:variant>
      <vt:variant>
        <vt:i4>0</vt:i4>
      </vt:variant>
      <vt:variant>
        <vt:i4>5</vt:i4>
      </vt:variant>
      <vt:variant>
        <vt:lpwstr>http://www.aer.gov.au/node/19983</vt:lpwstr>
      </vt:variant>
      <vt:variant>
        <vt:lpwstr/>
      </vt:variant>
      <vt:variant>
        <vt:i4>5963788</vt:i4>
      </vt:variant>
      <vt:variant>
        <vt:i4>39</vt:i4>
      </vt:variant>
      <vt:variant>
        <vt:i4>0</vt:i4>
      </vt:variant>
      <vt:variant>
        <vt:i4>5</vt:i4>
      </vt:variant>
      <vt:variant>
        <vt:lpwstr>http://www.aer.gov.au/node/20064</vt:lpwstr>
      </vt:variant>
      <vt:variant>
        <vt:lpwstr/>
      </vt:variant>
      <vt:variant>
        <vt:i4>2556028</vt:i4>
      </vt:variant>
      <vt:variant>
        <vt:i4>36</vt:i4>
      </vt:variant>
      <vt:variant>
        <vt:i4>0</vt:i4>
      </vt:variant>
      <vt:variant>
        <vt:i4>5</vt:i4>
      </vt:variant>
      <vt:variant>
        <vt:lpwstr>http://www.accc.gov.au/media-release/accc-directs-telstra-to-amend-measures-developed-under-the-migration-plan</vt:lpwstr>
      </vt:variant>
      <vt:variant>
        <vt:lpwstr/>
      </vt:variant>
      <vt:variant>
        <vt:i4>5701716</vt:i4>
      </vt:variant>
      <vt:variant>
        <vt:i4>33</vt:i4>
      </vt:variant>
      <vt:variant>
        <vt:i4>0</vt:i4>
      </vt:variant>
      <vt:variant>
        <vt:i4>5</vt:i4>
      </vt:variant>
      <vt:variant>
        <vt:lpwstr>http://www.accc.gov.au/media-release/accc-invites-comment-on-the-policies-and-procedures-for-the-list-of-nbn-pois</vt:lpwstr>
      </vt:variant>
      <vt:variant>
        <vt:lpwstr/>
      </vt:variant>
      <vt:variant>
        <vt:i4>1966156</vt:i4>
      </vt:variant>
      <vt:variant>
        <vt:i4>30</vt:i4>
      </vt:variant>
      <vt:variant>
        <vt:i4>0</vt:i4>
      </vt:variant>
      <vt:variant>
        <vt:i4>5</vt:i4>
      </vt:variant>
      <vt:variant>
        <vt:lpwstr>http://www.accc.gov.au/media-release/accc-telecommunications-reports-prices-fall-interest-in-broadband-grows</vt:lpwstr>
      </vt:variant>
      <vt:variant>
        <vt:lpwstr/>
      </vt:variant>
      <vt:variant>
        <vt:i4>3735653</vt:i4>
      </vt:variant>
      <vt:variant>
        <vt:i4>27</vt:i4>
      </vt:variant>
      <vt:variant>
        <vt:i4>0</vt:i4>
      </vt:variant>
      <vt:variant>
        <vt:i4>5</vt:i4>
      </vt:variant>
      <vt:variant>
        <vt:lpwstr>http://www.accc.gov.au/media-release/accc-proposes-cost-based-prices-for-wholesale-broadband-services-on-telstra%E2%80%99s-copper-0</vt:lpwstr>
      </vt:variant>
      <vt:variant>
        <vt:lpwstr/>
      </vt:variant>
      <vt:variant>
        <vt:i4>524360</vt:i4>
      </vt:variant>
      <vt:variant>
        <vt:i4>24</vt:i4>
      </vt:variant>
      <vt:variant>
        <vt:i4>0</vt:i4>
      </vt:variant>
      <vt:variant>
        <vt:i4>5</vt:i4>
      </vt:variant>
      <vt:variant>
        <vt:lpwstr>http://www.accc.gov.au/media-release/accc-authorises-collective-bargaining-for-central-queensland-coal-producers</vt:lpwstr>
      </vt:variant>
      <vt:variant>
        <vt:lpwstr/>
      </vt:variant>
      <vt:variant>
        <vt:i4>65625</vt:i4>
      </vt:variant>
      <vt:variant>
        <vt:i4>21</vt:i4>
      </vt:variant>
      <vt:variant>
        <vt:i4>0</vt:i4>
      </vt:variant>
      <vt:variant>
        <vt:i4>5</vt:i4>
      </vt:variant>
      <vt:variant>
        <vt:lpwstr>http://www.accc.gov.au/media-release/accc-allows-transferability-of-graincorps-port-capacity</vt:lpwstr>
      </vt:variant>
      <vt:variant>
        <vt:lpwstr/>
      </vt:variant>
      <vt:variant>
        <vt:i4>5898309</vt:i4>
      </vt:variant>
      <vt:variant>
        <vt:i4>18</vt:i4>
      </vt:variant>
      <vt:variant>
        <vt:i4>0</vt:i4>
      </vt:variant>
      <vt:variant>
        <vt:i4>5</vt:i4>
      </vt:variant>
      <vt:variant>
        <vt:lpwstr>http://www.accc.gov.au/media-release/accc-issues-draft-decision-on-nbn-co-special-access-undertaking</vt:lpwstr>
      </vt:variant>
      <vt:variant>
        <vt:lpwstr/>
      </vt:variant>
      <vt:variant>
        <vt:i4>917521</vt:i4>
      </vt:variant>
      <vt:variant>
        <vt:i4>15</vt:i4>
      </vt:variant>
      <vt:variant>
        <vt:i4>0</vt:i4>
      </vt:variant>
      <vt:variant>
        <vt:i4>5</vt:i4>
      </vt:variant>
      <vt:variant>
        <vt:lpwstr>http://www.accc.gov.au/media-release/accc-issues-decision-on-southern-sydney-freight-line</vt:lpwstr>
      </vt:variant>
      <vt:variant>
        <vt:lpwstr/>
      </vt:variant>
      <vt:variant>
        <vt:i4>5832784</vt:i4>
      </vt:variant>
      <vt:variant>
        <vt:i4>12</vt:i4>
      </vt:variant>
      <vt:variant>
        <vt:i4>0</vt:i4>
      </vt:variant>
      <vt:variant>
        <vt:i4>5</vt:i4>
      </vt:variant>
      <vt:variant>
        <vt:lpwstr>http://www.accc.gov.au/media-release/competition-tribunal-affirms-accc-decision-to-open-wa-grain-supply-chain-to</vt:lpwstr>
      </vt:variant>
      <vt:variant>
        <vt:lpwstr/>
      </vt:variant>
      <vt:variant>
        <vt:i4>4915217</vt:i4>
      </vt:variant>
      <vt:variant>
        <vt:i4>9</vt:i4>
      </vt:variant>
      <vt:variant>
        <vt:i4>0</vt:i4>
      </vt:variant>
      <vt:variant>
        <vt:i4>5</vt:i4>
      </vt:variant>
      <vt:variant>
        <vt:lpwstr>http://www.accc.gov.au/media-release/accc-report-finds-no-cross-subsidy-in-australia-post</vt:lpwstr>
      </vt:variant>
      <vt:variant>
        <vt:lpwstr/>
      </vt:variant>
      <vt:variant>
        <vt:i4>4456479</vt:i4>
      </vt:variant>
      <vt:variant>
        <vt:i4>6</vt:i4>
      </vt:variant>
      <vt:variant>
        <vt:i4>0</vt:i4>
      </vt:variant>
      <vt:variant>
        <vt:i4>5</vt:i4>
      </vt:variant>
      <vt:variant>
        <vt:lpwstr>http://www.accc.gov.au/media-release/growth-in-passenger-numbers-continuing-to-drive-airport-profits-and-need-for-new</vt:lpwstr>
      </vt:variant>
      <vt:variant>
        <vt:lpwstr/>
      </vt:variant>
      <vt:variant>
        <vt:i4>5242886</vt:i4>
      </vt:variant>
      <vt:variant>
        <vt:i4>3</vt:i4>
      </vt:variant>
      <vt:variant>
        <vt:i4>0</vt:i4>
      </vt:variant>
      <vt:variant>
        <vt:i4>5</vt:i4>
      </vt:variant>
      <vt:variant>
        <vt:lpwstr>http://www.accc.gov.au/media-release/accc-begins-consultation-on-wheat-export-undertakings-0</vt:lpwstr>
      </vt:variant>
      <vt:variant>
        <vt:lpwstr/>
      </vt:variant>
      <vt:variant>
        <vt:i4>7340076</vt:i4>
      </vt:variant>
      <vt:variant>
        <vt:i4>0</vt:i4>
      </vt:variant>
      <vt:variant>
        <vt:i4>0</vt:i4>
      </vt:variant>
      <vt:variant>
        <vt:i4>5</vt:i4>
      </vt:variant>
      <vt:variant>
        <vt:lpwstr>http://www.accc.gov.au/speech/competition-policy-workshop-%E2%80%93-infrastructure-access</vt:lpwstr>
      </vt:variant>
      <vt:variant>
        <vt:lpwstr>endnote</vt:lpwstr>
      </vt:variant>
      <vt:variant>
        <vt:i4>6553674</vt:i4>
      </vt:variant>
      <vt:variant>
        <vt:i4>12</vt:i4>
      </vt:variant>
      <vt:variant>
        <vt:i4>0</vt:i4>
      </vt:variant>
      <vt:variant>
        <vt:i4>5</vt:i4>
      </vt:variant>
      <vt:variant>
        <vt:lpwstr>mailto:Genevieve.Pound@accc.gov.au</vt:lpwstr>
      </vt:variant>
      <vt:variant>
        <vt:lpwstr/>
      </vt:variant>
      <vt:variant>
        <vt:i4>1900596</vt:i4>
      </vt:variant>
      <vt:variant>
        <vt:i4>9</vt:i4>
      </vt:variant>
      <vt:variant>
        <vt:i4>0</vt:i4>
      </vt:variant>
      <vt:variant>
        <vt:i4>5</vt:i4>
      </vt:variant>
      <vt:variant>
        <vt:lpwstr>mailto:Robert.Albon@accc.gov.au</vt:lpwstr>
      </vt:variant>
      <vt:variant>
        <vt:lpwstr/>
      </vt:variant>
      <vt:variant>
        <vt:i4>6553674</vt:i4>
      </vt:variant>
      <vt:variant>
        <vt:i4>6</vt:i4>
      </vt:variant>
      <vt:variant>
        <vt:i4>0</vt:i4>
      </vt:variant>
      <vt:variant>
        <vt:i4>5</vt:i4>
      </vt:variant>
      <vt:variant>
        <vt:lpwstr>mailto:Genevieve.Pound@accc.gov.au</vt:lpwstr>
      </vt:variant>
      <vt:variant>
        <vt:lpwstr/>
      </vt:variant>
      <vt:variant>
        <vt:i4>1900596</vt:i4>
      </vt:variant>
      <vt:variant>
        <vt:i4>3</vt:i4>
      </vt:variant>
      <vt:variant>
        <vt:i4>0</vt:i4>
      </vt:variant>
      <vt:variant>
        <vt:i4>5</vt:i4>
      </vt:variant>
      <vt:variant>
        <vt:lpwstr>mailto:Robert.Albon@accc.gov.au</vt:lpwstr>
      </vt:variant>
      <vt:variant>
        <vt:lpwstr/>
      </vt:variant>
      <vt:variant>
        <vt:i4>2818108</vt:i4>
      </vt:variant>
      <vt:variant>
        <vt:i4>0</vt:i4>
      </vt:variant>
      <vt:variant>
        <vt:i4>0</vt:i4>
      </vt:variant>
      <vt:variant>
        <vt:i4>5</vt:i4>
      </vt:variant>
      <vt:variant>
        <vt:lpwstr>http://www.pc.gov.au/projects/inquiry/access-regime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Issue 32 April 2009</dc:title>
  <dc:subject/>
  <dc:creator>gpoun</dc:creator>
  <cp:keywords/>
  <dc:description/>
  <cp:lastModifiedBy>Pound, Genevieve</cp:lastModifiedBy>
  <cp:revision>74</cp:revision>
  <cp:lastPrinted>2014-12-04T01:49:00Z</cp:lastPrinted>
  <dcterms:created xsi:type="dcterms:W3CDTF">2014-11-13T00:34:00Z</dcterms:created>
  <dcterms:modified xsi:type="dcterms:W3CDTF">2014-12-04T01:53:00Z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urrfile">
    <vt:lpwstr>\\cdchnas-evs02\home$\gpoun\network december 2014 (D2014-00155048).docx</vt:lpwstr>
  </property>
  <property fmtid="{D5CDD505-2E9C-101B-9397-08002B2CF9AE}" pid="3" name="URI">
    <vt:lpwstr>8304334</vt:lpwstr>
  </property>
</Properties>
</file>