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2141C6B8" wp14:editId="73714673">
                    <wp:simplePos x="0" y="0"/>
                    <wp:positionH relativeFrom="column">
                      <wp:posOffset>-593614</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6.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" fillcolor="#d5d6d2 [3214]" stroked="f" strokeweight="2pt"/>
                </w:pict>
              </mc:Fallback>
            </mc:AlternateContent>
          </w:r>
          <w:r>
            <w:rPr>
              <w:noProof/>
              <w:lang w:eastAsia="en-AU"/>
            </w:rPr>
            <w:drawing>
              <wp:inline distT="0" distB="0" distL="0" distR="0" wp14:anchorId="5BA8A02A" wp14:editId="6F1544CB">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687F39" w:rsidRPr="00C755AD" w:rsidRDefault="00051D1C" w:rsidP="00051D1C">
                <w:pPr>
                  <w:pStyle w:val="Title"/>
                </w:pPr>
                <w:bookmarkStart w:id="0" w:name="_Toc414270383"/>
                <w:bookmarkStart w:id="1" w:name="_Toc428267552"/>
                <w:bookmarkStart w:id="2" w:name="_Toc428279036"/>
                <w:bookmarkStart w:id="3" w:name="_Toc428881402"/>
                <w:bookmarkStart w:id="4" w:name="_Toc429049963"/>
                <w:bookmarkStart w:id="5" w:name="_Toc429052691"/>
                <w:r>
                  <w:t xml:space="preserve">ACCC submission </w:t>
                </w:r>
                <w:r w:rsidR="009B435F">
                  <w:t>to the inquiry into the proposed lease of the Port of Melbourne</w:t>
                </w:r>
                <w:bookmarkEnd w:id="0"/>
                <w:bookmarkEnd w:id="1"/>
                <w:bookmarkEnd w:id="2"/>
                <w:bookmarkEnd w:id="3"/>
                <w:bookmarkEnd w:id="4"/>
                <w:bookmarkEnd w:id="5"/>
              </w:p>
            </w:tc>
          </w:tr>
          <w:tr w:rsidR="00687F39" w:rsidRPr="00C755AD" w:rsidTr="00C755AD">
            <w:tc>
              <w:tcPr>
                <w:tcW w:w="9242" w:type="dxa"/>
              </w:tcPr>
              <w:p w:rsidR="00687F39" w:rsidRPr="00C755AD" w:rsidRDefault="00687F39" w:rsidP="00303C4A">
                <w:pPr>
                  <w:pStyle w:val="Subtitle"/>
                </w:pPr>
              </w:p>
            </w:tc>
          </w:tr>
          <w:tr w:rsidR="00687F39" w:rsidRPr="00C755AD" w:rsidTr="00C755AD">
            <w:tc>
              <w:tcPr>
                <w:tcW w:w="9242" w:type="dxa"/>
              </w:tcPr>
              <w:p w:rsidR="00687F39" w:rsidRPr="00C755AD" w:rsidRDefault="00687F39" w:rsidP="00303C4A"/>
              <w:p w:rsidR="00687F39" w:rsidRPr="00C755AD" w:rsidRDefault="007E2597" w:rsidP="007E2597">
                <w:pPr>
                  <w:pStyle w:val="CoverDate"/>
                </w:pPr>
                <w:r>
                  <w:t>10</w:t>
                </w:r>
                <w:r w:rsidR="009B435F">
                  <w:t xml:space="preserve"> September 2015</w:t>
                </w:r>
              </w:p>
            </w:tc>
          </w:tr>
        </w:tbl>
        <w:p w:rsidR="00687F39" w:rsidRPr="003B5A70" w:rsidRDefault="00687F39" w:rsidP="005E6C0E">
          <w:pPr>
            <w:tabs>
              <w:tab w:val="left" w:pos="340"/>
              <w:tab w:val="left" w:pos="680"/>
              <w:tab w:val="left" w:pos="1021"/>
              <w:tab w:val="left" w:pos="1361"/>
            </w:tabs>
          </w:pPr>
        </w:p>
        <w:p w:rsidR="00687F39" w:rsidRDefault="00687F39">
          <w:r>
            <w:br w:type="page"/>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rPr>
              <w:b/>
            </w:rPr>
          </w:sdtEndPr>
          <w:sdtContent>
            <w:p w:rsidR="009F2BE5" w:rsidRDefault="009F2BE5" w:rsidP="00F62AB3">
              <w:pPr>
                <w:pStyle w:val="TOCHeading"/>
              </w:pPr>
              <w:r>
                <w:t>Contents</w:t>
              </w:r>
            </w:p>
            <w:p w:rsidR="00CD0A0D" w:rsidRDefault="009F2BE5">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29052692" w:history="1">
                <w:r w:rsidR="00CD0A0D" w:rsidRPr="00483622">
                  <w:rPr>
                    <w:rStyle w:val="Hyperlink"/>
                  </w:rPr>
                  <w:t>1.</w:t>
                </w:r>
                <w:r w:rsidR="00CD0A0D">
                  <w:rPr>
                    <w:rFonts w:asciiTheme="minorHAnsi" w:eastAsiaTheme="minorEastAsia" w:hAnsiTheme="minorHAnsi"/>
                    <w:lang w:val="en-AU" w:eastAsia="en-AU"/>
                  </w:rPr>
                  <w:tab/>
                </w:r>
                <w:r w:rsidR="00CD0A0D" w:rsidRPr="00483622">
                  <w:rPr>
                    <w:rStyle w:val="Hyperlink"/>
                  </w:rPr>
                  <w:t>Executive summary</w:t>
                </w:r>
                <w:r w:rsidR="00CD0A0D">
                  <w:rPr>
                    <w:webHidden/>
                  </w:rPr>
                  <w:tab/>
                </w:r>
                <w:r w:rsidR="00CD0A0D">
                  <w:rPr>
                    <w:webHidden/>
                  </w:rPr>
                  <w:fldChar w:fldCharType="begin"/>
                </w:r>
                <w:r w:rsidR="00CD0A0D">
                  <w:rPr>
                    <w:webHidden/>
                  </w:rPr>
                  <w:instrText xml:space="preserve"> PAGEREF _Toc429052692 \h </w:instrText>
                </w:r>
                <w:r w:rsidR="00CD0A0D">
                  <w:rPr>
                    <w:webHidden/>
                  </w:rPr>
                </w:r>
                <w:r w:rsidR="00CD0A0D">
                  <w:rPr>
                    <w:webHidden/>
                  </w:rPr>
                  <w:fldChar w:fldCharType="separate"/>
                </w:r>
                <w:r w:rsidR="005325B0">
                  <w:rPr>
                    <w:webHidden/>
                  </w:rPr>
                  <w:t>2</w:t>
                </w:r>
                <w:r w:rsidR="00CD0A0D">
                  <w:rPr>
                    <w:webHidden/>
                  </w:rPr>
                  <w:fldChar w:fldCharType="end"/>
                </w:r>
              </w:hyperlink>
            </w:p>
            <w:p w:rsidR="00CD0A0D" w:rsidRDefault="003A5FE4">
              <w:pPr>
                <w:pStyle w:val="TOC1"/>
                <w:rPr>
                  <w:rFonts w:asciiTheme="minorHAnsi" w:eastAsiaTheme="minorEastAsia" w:hAnsiTheme="minorHAnsi"/>
                  <w:lang w:val="en-AU" w:eastAsia="en-AU"/>
                </w:rPr>
              </w:pPr>
              <w:hyperlink w:anchor="_Toc429052693" w:history="1">
                <w:r w:rsidR="00CD0A0D" w:rsidRPr="00483622">
                  <w:rPr>
                    <w:rStyle w:val="Hyperlink"/>
                  </w:rPr>
                  <w:t>2.</w:t>
                </w:r>
                <w:r w:rsidR="00CD0A0D">
                  <w:rPr>
                    <w:rFonts w:asciiTheme="minorHAnsi" w:eastAsiaTheme="minorEastAsia" w:hAnsiTheme="minorHAnsi"/>
                    <w:lang w:val="en-AU" w:eastAsia="en-AU"/>
                  </w:rPr>
                  <w:tab/>
                </w:r>
                <w:r w:rsidR="00CD0A0D" w:rsidRPr="00483622">
                  <w:rPr>
                    <w:rStyle w:val="Hyperlink"/>
                  </w:rPr>
                  <w:t>Privatisations</w:t>
                </w:r>
                <w:r w:rsidR="00CD0A0D">
                  <w:rPr>
                    <w:webHidden/>
                  </w:rPr>
                  <w:tab/>
                </w:r>
                <w:r w:rsidR="00CD0A0D">
                  <w:rPr>
                    <w:webHidden/>
                  </w:rPr>
                  <w:fldChar w:fldCharType="begin"/>
                </w:r>
                <w:r w:rsidR="00CD0A0D">
                  <w:rPr>
                    <w:webHidden/>
                  </w:rPr>
                  <w:instrText xml:space="preserve"> PAGEREF _Toc429052693 \h </w:instrText>
                </w:r>
                <w:r w:rsidR="00CD0A0D">
                  <w:rPr>
                    <w:webHidden/>
                  </w:rPr>
                </w:r>
                <w:r w:rsidR="00CD0A0D">
                  <w:rPr>
                    <w:webHidden/>
                  </w:rPr>
                  <w:fldChar w:fldCharType="separate"/>
                </w:r>
                <w:r w:rsidR="005325B0">
                  <w:rPr>
                    <w:webHidden/>
                  </w:rPr>
                  <w:t>4</w:t>
                </w:r>
                <w:r w:rsidR="00CD0A0D">
                  <w:rPr>
                    <w:webHidden/>
                  </w:rPr>
                  <w:fldChar w:fldCharType="end"/>
                </w:r>
              </w:hyperlink>
            </w:p>
            <w:p w:rsidR="00CD0A0D" w:rsidRDefault="003A5FE4">
              <w:pPr>
                <w:pStyle w:val="TOC1"/>
                <w:rPr>
                  <w:rFonts w:asciiTheme="minorHAnsi" w:eastAsiaTheme="minorEastAsia" w:hAnsiTheme="minorHAnsi"/>
                  <w:lang w:val="en-AU" w:eastAsia="en-AU"/>
                </w:rPr>
              </w:pPr>
              <w:hyperlink w:anchor="_Toc429052694" w:history="1">
                <w:r w:rsidR="00CD0A0D" w:rsidRPr="00483622">
                  <w:rPr>
                    <w:rStyle w:val="Hyperlink"/>
                  </w:rPr>
                  <w:t>3.</w:t>
                </w:r>
                <w:r w:rsidR="00CD0A0D">
                  <w:rPr>
                    <w:rFonts w:asciiTheme="minorHAnsi" w:eastAsiaTheme="minorEastAsia" w:hAnsiTheme="minorHAnsi"/>
                    <w:lang w:val="en-AU" w:eastAsia="en-AU"/>
                  </w:rPr>
                  <w:tab/>
                </w:r>
                <w:r w:rsidR="00CD0A0D" w:rsidRPr="00483622">
                  <w:rPr>
                    <w:rStyle w:val="Hyperlink"/>
                  </w:rPr>
                  <w:t>Market structure</w:t>
                </w:r>
                <w:r w:rsidR="00CD0A0D">
                  <w:rPr>
                    <w:webHidden/>
                  </w:rPr>
                  <w:tab/>
                </w:r>
                <w:r w:rsidR="00CD0A0D">
                  <w:rPr>
                    <w:webHidden/>
                  </w:rPr>
                  <w:fldChar w:fldCharType="begin"/>
                </w:r>
                <w:r w:rsidR="00CD0A0D">
                  <w:rPr>
                    <w:webHidden/>
                  </w:rPr>
                  <w:instrText xml:space="preserve"> PAGEREF _Toc429052694 \h </w:instrText>
                </w:r>
                <w:r w:rsidR="00CD0A0D">
                  <w:rPr>
                    <w:webHidden/>
                  </w:rPr>
                </w:r>
                <w:r w:rsidR="00CD0A0D">
                  <w:rPr>
                    <w:webHidden/>
                  </w:rPr>
                  <w:fldChar w:fldCharType="separate"/>
                </w:r>
                <w:r w:rsidR="005325B0">
                  <w:rPr>
                    <w:webHidden/>
                  </w:rPr>
                  <w:t>5</w:t>
                </w:r>
                <w:r w:rsidR="00CD0A0D">
                  <w:rPr>
                    <w:webHidden/>
                  </w:rPr>
                  <w:fldChar w:fldCharType="end"/>
                </w:r>
              </w:hyperlink>
            </w:p>
            <w:p w:rsidR="00CD0A0D" w:rsidRDefault="003A5FE4">
              <w:pPr>
                <w:pStyle w:val="TOC2"/>
                <w:rPr>
                  <w:rFonts w:asciiTheme="minorHAnsi" w:eastAsiaTheme="minorEastAsia" w:hAnsiTheme="minorHAnsi"/>
                  <w:lang w:eastAsia="en-AU"/>
                </w:rPr>
              </w:pPr>
              <w:hyperlink w:anchor="_Toc429052695" w:history="1">
                <w:r w:rsidR="00CD0A0D" w:rsidRPr="00483622">
                  <w:rPr>
                    <w:rStyle w:val="Hyperlink"/>
                  </w:rPr>
                  <w:t>3.1.</w:t>
                </w:r>
                <w:r w:rsidR="00CD0A0D">
                  <w:rPr>
                    <w:rFonts w:asciiTheme="minorHAnsi" w:eastAsiaTheme="minorEastAsia" w:hAnsiTheme="minorHAnsi"/>
                    <w:lang w:eastAsia="en-AU"/>
                  </w:rPr>
                  <w:tab/>
                </w:r>
                <w:r w:rsidR="00CD0A0D" w:rsidRPr="00483622">
                  <w:rPr>
                    <w:rStyle w:val="Hyperlink"/>
                  </w:rPr>
                  <w:t>Proposed lease terms for the privatised Port of Melbourne</w:t>
                </w:r>
                <w:r w:rsidR="00CD0A0D">
                  <w:rPr>
                    <w:webHidden/>
                  </w:rPr>
                  <w:tab/>
                </w:r>
                <w:r w:rsidR="00CD0A0D">
                  <w:rPr>
                    <w:webHidden/>
                  </w:rPr>
                  <w:fldChar w:fldCharType="begin"/>
                </w:r>
                <w:r w:rsidR="00CD0A0D">
                  <w:rPr>
                    <w:webHidden/>
                  </w:rPr>
                  <w:instrText xml:space="preserve"> PAGEREF _Toc429052695 \h </w:instrText>
                </w:r>
                <w:r w:rsidR="00CD0A0D">
                  <w:rPr>
                    <w:webHidden/>
                  </w:rPr>
                </w:r>
                <w:r w:rsidR="00CD0A0D">
                  <w:rPr>
                    <w:webHidden/>
                  </w:rPr>
                  <w:fldChar w:fldCharType="separate"/>
                </w:r>
                <w:r w:rsidR="005325B0">
                  <w:rPr>
                    <w:webHidden/>
                  </w:rPr>
                  <w:t>6</w:t>
                </w:r>
                <w:r w:rsidR="00CD0A0D">
                  <w:rPr>
                    <w:webHidden/>
                  </w:rPr>
                  <w:fldChar w:fldCharType="end"/>
                </w:r>
              </w:hyperlink>
            </w:p>
            <w:p w:rsidR="00CD0A0D" w:rsidRDefault="003A5FE4">
              <w:pPr>
                <w:pStyle w:val="TOC3"/>
                <w:rPr>
                  <w:rFonts w:asciiTheme="minorHAnsi" w:eastAsiaTheme="minorEastAsia" w:hAnsiTheme="minorHAnsi"/>
                  <w:lang w:eastAsia="en-AU"/>
                </w:rPr>
              </w:pPr>
              <w:hyperlink w:anchor="_Toc429052696" w:history="1">
                <w:r w:rsidR="00CD0A0D" w:rsidRPr="00483622">
                  <w:rPr>
                    <w:rStyle w:val="Hyperlink"/>
                  </w:rPr>
                  <w:t>Compensation regime</w:t>
                </w:r>
                <w:r w:rsidR="00CD0A0D">
                  <w:rPr>
                    <w:webHidden/>
                  </w:rPr>
                  <w:tab/>
                </w:r>
                <w:r w:rsidR="00CD0A0D">
                  <w:rPr>
                    <w:webHidden/>
                  </w:rPr>
                  <w:fldChar w:fldCharType="begin"/>
                </w:r>
                <w:r w:rsidR="00CD0A0D">
                  <w:rPr>
                    <w:webHidden/>
                  </w:rPr>
                  <w:instrText xml:space="preserve"> PAGEREF _Toc429052696 \h </w:instrText>
                </w:r>
                <w:r w:rsidR="00CD0A0D">
                  <w:rPr>
                    <w:webHidden/>
                  </w:rPr>
                </w:r>
                <w:r w:rsidR="00CD0A0D">
                  <w:rPr>
                    <w:webHidden/>
                  </w:rPr>
                  <w:fldChar w:fldCharType="separate"/>
                </w:r>
                <w:r w:rsidR="005325B0">
                  <w:rPr>
                    <w:webHidden/>
                  </w:rPr>
                  <w:t>6</w:t>
                </w:r>
                <w:r w:rsidR="00CD0A0D">
                  <w:rPr>
                    <w:webHidden/>
                  </w:rPr>
                  <w:fldChar w:fldCharType="end"/>
                </w:r>
              </w:hyperlink>
            </w:p>
            <w:p w:rsidR="00CD0A0D" w:rsidRDefault="003A5FE4">
              <w:pPr>
                <w:pStyle w:val="TOC3"/>
                <w:rPr>
                  <w:rFonts w:asciiTheme="minorHAnsi" w:eastAsiaTheme="minorEastAsia" w:hAnsiTheme="minorHAnsi"/>
                  <w:lang w:eastAsia="en-AU"/>
                </w:rPr>
              </w:pPr>
              <w:hyperlink w:anchor="_Toc429052697" w:history="1">
                <w:r w:rsidR="00CD0A0D" w:rsidRPr="00483622">
                  <w:rPr>
                    <w:rStyle w:val="Hyperlink"/>
                  </w:rPr>
                  <w:t>Restrictions on vertical integration</w:t>
                </w:r>
                <w:r w:rsidR="00CD0A0D">
                  <w:rPr>
                    <w:webHidden/>
                  </w:rPr>
                  <w:tab/>
                </w:r>
                <w:r w:rsidR="00CD0A0D">
                  <w:rPr>
                    <w:webHidden/>
                  </w:rPr>
                  <w:fldChar w:fldCharType="begin"/>
                </w:r>
                <w:r w:rsidR="00CD0A0D">
                  <w:rPr>
                    <w:webHidden/>
                  </w:rPr>
                  <w:instrText xml:space="preserve"> PAGEREF _Toc429052697 \h </w:instrText>
                </w:r>
                <w:r w:rsidR="00CD0A0D">
                  <w:rPr>
                    <w:webHidden/>
                  </w:rPr>
                </w:r>
                <w:r w:rsidR="00CD0A0D">
                  <w:rPr>
                    <w:webHidden/>
                  </w:rPr>
                  <w:fldChar w:fldCharType="separate"/>
                </w:r>
                <w:r w:rsidR="005325B0">
                  <w:rPr>
                    <w:webHidden/>
                  </w:rPr>
                  <w:t>6</w:t>
                </w:r>
                <w:r w:rsidR="00CD0A0D">
                  <w:rPr>
                    <w:webHidden/>
                  </w:rPr>
                  <w:fldChar w:fldCharType="end"/>
                </w:r>
              </w:hyperlink>
            </w:p>
            <w:p w:rsidR="00CD0A0D" w:rsidRDefault="003A5FE4">
              <w:pPr>
                <w:pStyle w:val="TOC1"/>
                <w:rPr>
                  <w:rFonts w:asciiTheme="minorHAnsi" w:eastAsiaTheme="minorEastAsia" w:hAnsiTheme="minorHAnsi"/>
                  <w:lang w:val="en-AU" w:eastAsia="en-AU"/>
                </w:rPr>
              </w:pPr>
              <w:hyperlink w:anchor="_Toc429052698" w:history="1">
                <w:r w:rsidR="00CD0A0D" w:rsidRPr="00483622">
                  <w:rPr>
                    <w:rStyle w:val="Hyperlink"/>
                  </w:rPr>
                  <w:t>4.</w:t>
                </w:r>
                <w:r w:rsidR="00CD0A0D">
                  <w:rPr>
                    <w:rFonts w:asciiTheme="minorHAnsi" w:eastAsiaTheme="minorEastAsia" w:hAnsiTheme="minorHAnsi"/>
                    <w:lang w:val="en-AU" w:eastAsia="en-AU"/>
                  </w:rPr>
                  <w:tab/>
                </w:r>
                <w:r w:rsidR="00CD0A0D" w:rsidRPr="00483622">
                  <w:rPr>
                    <w:rStyle w:val="Hyperlink"/>
                  </w:rPr>
                  <w:t>Economic regulation</w:t>
                </w:r>
                <w:r w:rsidR="00CD0A0D">
                  <w:rPr>
                    <w:webHidden/>
                  </w:rPr>
                  <w:tab/>
                </w:r>
                <w:r w:rsidR="00CD0A0D">
                  <w:rPr>
                    <w:webHidden/>
                  </w:rPr>
                  <w:fldChar w:fldCharType="begin"/>
                </w:r>
                <w:r w:rsidR="00CD0A0D">
                  <w:rPr>
                    <w:webHidden/>
                  </w:rPr>
                  <w:instrText xml:space="preserve"> PAGEREF _Toc429052698 \h </w:instrText>
                </w:r>
                <w:r w:rsidR="00CD0A0D">
                  <w:rPr>
                    <w:webHidden/>
                  </w:rPr>
                </w:r>
                <w:r w:rsidR="00CD0A0D">
                  <w:rPr>
                    <w:webHidden/>
                  </w:rPr>
                  <w:fldChar w:fldCharType="separate"/>
                </w:r>
                <w:r w:rsidR="005325B0">
                  <w:rPr>
                    <w:webHidden/>
                  </w:rPr>
                  <w:t>7</w:t>
                </w:r>
                <w:r w:rsidR="00CD0A0D">
                  <w:rPr>
                    <w:webHidden/>
                  </w:rPr>
                  <w:fldChar w:fldCharType="end"/>
                </w:r>
              </w:hyperlink>
            </w:p>
            <w:p w:rsidR="00CD0A0D" w:rsidRDefault="003A5FE4">
              <w:pPr>
                <w:pStyle w:val="TOC2"/>
                <w:rPr>
                  <w:rFonts w:asciiTheme="minorHAnsi" w:eastAsiaTheme="minorEastAsia" w:hAnsiTheme="minorHAnsi"/>
                  <w:lang w:eastAsia="en-AU"/>
                </w:rPr>
              </w:pPr>
              <w:hyperlink w:anchor="_Toc429052699" w:history="1">
                <w:r w:rsidR="00CD0A0D" w:rsidRPr="00483622">
                  <w:rPr>
                    <w:rStyle w:val="Hyperlink"/>
                  </w:rPr>
                  <w:t>4.1.</w:t>
                </w:r>
                <w:r w:rsidR="00CD0A0D">
                  <w:rPr>
                    <w:rFonts w:asciiTheme="minorHAnsi" w:eastAsiaTheme="minorEastAsia" w:hAnsiTheme="minorHAnsi"/>
                    <w:lang w:eastAsia="en-AU"/>
                  </w:rPr>
                  <w:tab/>
                </w:r>
                <w:r w:rsidR="00CD0A0D" w:rsidRPr="00483622">
                  <w:rPr>
                    <w:rStyle w:val="Hyperlink"/>
                  </w:rPr>
                  <w:t>Proposed regulation for the privatised Port of Melbourne</w:t>
                </w:r>
                <w:r w:rsidR="00CD0A0D">
                  <w:rPr>
                    <w:webHidden/>
                  </w:rPr>
                  <w:tab/>
                </w:r>
                <w:r w:rsidR="00CD0A0D">
                  <w:rPr>
                    <w:webHidden/>
                  </w:rPr>
                  <w:fldChar w:fldCharType="begin"/>
                </w:r>
                <w:r w:rsidR="00CD0A0D">
                  <w:rPr>
                    <w:webHidden/>
                  </w:rPr>
                  <w:instrText xml:space="preserve"> PAGEREF _Toc429052699 \h </w:instrText>
                </w:r>
                <w:r w:rsidR="00CD0A0D">
                  <w:rPr>
                    <w:webHidden/>
                  </w:rPr>
                </w:r>
                <w:r w:rsidR="00CD0A0D">
                  <w:rPr>
                    <w:webHidden/>
                  </w:rPr>
                  <w:fldChar w:fldCharType="separate"/>
                </w:r>
                <w:r w:rsidR="005325B0">
                  <w:rPr>
                    <w:webHidden/>
                  </w:rPr>
                  <w:t>7</w:t>
                </w:r>
                <w:r w:rsidR="00CD0A0D">
                  <w:rPr>
                    <w:webHidden/>
                  </w:rPr>
                  <w:fldChar w:fldCharType="end"/>
                </w:r>
              </w:hyperlink>
            </w:p>
            <w:p w:rsidR="00CD0A0D" w:rsidRDefault="003A5FE4">
              <w:pPr>
                <w:pStyle w:val="TOC3"/>
                <w:rPr>
                  <w:rFonts w:asciiTheme="minorHAnsi" w:eastAsiaTheme="minorEastAsia" w:hAnsiTheme="minorHAnsi"/>
                  <w:lang w:eastAsia="en-AU"/>
                </w:rPr>
              </w:pPr>
              <w:hyperlink w:anchor="_Toc429052700" w:history="1">
                <w:r w:rsidR="00CD0A0D" w:rsidRPr="00483622">
                  <w:rPr>
                    <w:rStyle w:val="Hyperlink"/>
                  </w:rPr>
                  <w:t>Form of regulation</w:t>
                </w:r>
                <w:r w:rsidR="00CD0A0D">
                  <w:rPr>
                    <w:webHidden/>
                  </w:rPr>
                  <w:tab/>
                </w:r>
                <w:r w:rsidR="00CD0A0D">
                  <w:rPr>
                    <w:webHidden/>
                  </w:rPr>
                  <w:fldChar w:fldCharType="begin"/>
                </w:r>
                <w:r w:rsidR="00CD0A0D">
                  <w:rPr>
                    <w:webHidden/>
                  </w:rPr>
                  <w:instrText xml:space="preserve"> PAGEREF _Toc429052700 \h </w:instrText>
                </w:r>
                <w:r w:rsidR="00CD0A0D">
                  <w:rPr>
                    <w:webHidden/>
                  </w:rPr>
                </w:r>
                <w:r w:rsidR="00CD0A0D">
                  <w:rPr>
                    <w:webHidden/>
                  </w:rPr>
                  <w:fldChar w:fldCharType="separate"/>
                </w:r>
                <w:r w:rsidR="005325B0">
                  <w:rPr>
                    <w:webHidden/>
                  </w:rPr>
                  <w:t>8</w:t>
                </w:r>
                <w:r w:rsidR="00CD0A0D">
                  <w:rPr>
                    <w:webHidden/>
                  </w:rPr>
                  <w:fldChar w:fldCharType="end"/>
                </w:r>
              </w:hyperlink>
            </w:p>
            <w:p w:rsidR="00CD0A0D" w:rsidRDefault="003A5FE4">
              <w:pPr>
                <w:pStyle w:val="TOC3"/>
                <w:rPr>
                  <w:rFonts w:asciiTheme="minorHAnsi" w:eastAsiaTheme="minorEastAsia" w:hAnsiTheme="minorHAnsi"/>
                  <w:lang w:eastAsia="en-AU"/>
                </w:rPr>
              </w:pPr>
              <w:hyperlink w:anchor="_Toc429052701" w:history="1">
                <w:r w:rsidR="00CD0A0D" w:rsidRPr="00483622">
                  <w:rPr>
                    <w:rStyle w:val="Hyperlink"/>
                  </w:rPr>
                  <w:t>Scope of services</w:t>
                </w:r>
                <w:r w:rsidR="00CD0A0D">
                  <w:rPr>
                    <w:webHidden/>
                  </w:rPr>
                  <w:tab/>
                </w:r>
                <w:r w:rsidR="00CD0A0D">
                  <w:rPr>
                    <w:webHidden/>
                  </w:rPr>
                  <w:fldChar w:fldCharType="begin"/>
                </w:r>
                <w:r w:rsidR="00CD0A0D">
                  <w:rPr>
                    <w:webHidden/>
                  </w:rPr>
                  <w:instrText xml:space="preserve"> PAGEREF _Toc429052701 \h </w:instrText>
                </w:r>
                <w:r w:rsidR="00CD0A0D">
                  <w:rPr>
                    <w:webHidden/>
                  </w:rPr>
                </w:r>
                <w:r w:rsidR="00CD0A0D">
                  <w:rPr>
                    <w:webHidden/>
                  </w:rPr>
                  <w:fldChar w:fldCharType="separate"/>
                </w:r>
                <w:r w:rsidR="005325B0">
                  <w:rPr>
                    <w:webHidden/>
                  </w:rPr>
                  <w:t>9</w:t>
                </w:r>
                <w:r w:rsidR="00CD0A0D">
                  <w:rPr>
                    <w:webHidden/>
                  </w:rPr>
                  <w:fldChar w:fldCharType="end"/>
                </w:r>
              </w:hyperlink>
            </w:p>
            <w:p w:rsidR="00CD0A0D" w:rsidRDefault="003A5FE4">
              <w:pPr>
                <w:pStyle w:val="TOC1"/>
                <w:rPr>
                  <w:rFonts w:asciiTheme="minorHAnsi" w:eastAsiaTheme="minorEastAsia" w:hAnsiTheme="minorHAnsi"/>
                  <w:lang w:val="en-AU" w:eastAsia="en-AU"/>
                </w:rPr>
              </w:pPr>
              <w:hyperlink w:anchor="_Toc429052702" w:history="1">
                <w:r w:rsidR="00CD0A0D" w:rsidRPr="00483622">
                  <w:rPr>
                    <w:rStyle w:val="Hyperlink"/>
                  </w:rPr>
                  <w:t>5.</w:t>
                </w:r>
                <w:r w:rsidR="00CD0A0D">
                  <w:rPr>
                    <w:rFonts w:asciiTheme="minorHAnsi" w:eastAsiaTheme="minorEastAsia" w:hAnsiTheme="minorHAnsi"/>
                    <w:lang w:val="en-AU" w:eastAsia="en-AU"/>
                  </w:rPr>
                  <w:tab/>
                </w:r>
                <w:r w:rsidR="00CD0A0D" w:rsidRPr="00483622">
                  <w:rPr>
                    <w:rStyle w:val="Hyperlink"/>
                  </w:rPr>
                  <w:t>Further information</w:t>
                </w:r>
                <w:r w:rsidR="00CD0A0D">
                  <w:rPr>
                    <w:webHidden/>
                  </w:rPr>
                  <w:tab/>
                </w:r>
                <w:r w:rsidR="00CD0A0D">
                  <w:rPr>
                    <w:webHidden/>
                  </w:rPr>
                  <w:fldChar w:fldCharType="begin"/>
                </w:r>
                <w:r w:rsidR="00CD0A0D">
                  <w:rPr>
                    <w:webHidden/>
                  </w:rPr>
                  <w:instrText xml:space="preserve"> PAGEREF _Toc429052702 \h </w:instrText>
                </w:r>
                <w:r w:rsidR="00CD0A0D">
                  <w:rPr>
                    <w:webHidden/>
                  </w:rPr>
                </w:r>
                <w:r w:rsidR="00CD0A0D">
                  <w:rPr>
                    <w:webHidden/>
                  </w:rPr>
                  <w:fldChar w:fldCharType="separate"/>
                </w:r>
                <w:r w:rsidR="005325B0">
                  <w:rPr>
                    <w:webHidden/>
                  </w:rPr>
                  <w:t>9</w:t>
                </w:r>
                <w:r w:rsidR="00CD0A0D">
                  <w:rPr>
                    <w:webHidden/>
                  </w:rPr>
                  <w:fldChar w:fldCharType="end"/>
                </w:r>
              </w:hyperlink>
            </w:p>
            <w:p w:rsidR="009F2BE5" w:rsidRDefault="009F2BE5">
              <w:r>
                <w:rPr>
                  <w:b/>
                </w:rPr>
                <w:fldChar w:fldCharType="end"/>
              </w:r>
            </w:p>
          </w:sdtContent>
        </w:sdt>
        <w:p w:rsidR="009F2BE5" w:rsidRDefault="009F2BE5">
          <w:r>
            <w:br w:type="page"/>
          </w:r>
        </w:p>
        <w:p w:rsidR="00687F39" w:rsidRDefault="003A5FE4"/>
      </w:sdtContent>
    </w:sdt>
    <w:p w:rsidR="00687F39" w:rsidRDefault="00BC3135" w:rsidP="00687F39">
      <w:pPr>
        <w:pStyle w:val="Numbered1"/>
      </w:pPr>
      <w:bookmarkStart w:id="6" w:name="_Toc429052692"/>
      <w:r>
        <w:t>Executive summary</w:t>
      </w:r>
      <w:bookmarkEnd w:id="6"/>
    </w:p>
    <w:p w:rsidR="003F2CEF" w:rsidRDefault="003F2CEF" w:rsidP="00051D1C">
      <w:pPr>
        <w:pStyle w:val="Bulletpoint"/>
        <w:numPr>
          <w:ilvl w:val="0"/>
          <w:numId w:val="0"/>
        </w:numPr>
      </w:pPr>
      <w:r>
        <w:t xml:space="preserve">On 5 August 2015, the Victorian Legislative Council resolved to establish a Select Committee of eight members to inquire into the proposed lease of the Port of Melbourne to a private sector entity. This submission responds to calls from the Select Committee for comment on the </w:t>
      </w:r>
      <w:r w:rsidRPr="006D4AFC">
        <w:rPr>
          <w:i/>
        </w:rPr>
        <w:t>Delivering Victorian Infrastructure (Port of Melbourne Lease Transaction) Bill 2015</w:t>
      </w:r>
      <w:r>
        <w:t xml:space="preserve"> (</w:t>
      </w:r>
      <w:r w:rsidRPr="003F2CEF">
        <w:rPr>
          <w:b/>
        </w:rPr>
        <w:t>the Bill</w:t>
      </w:r>
      <w:r>
        <w:t xml:space="preserve">) that was introduced into the Victorian Parliament in May 2015 and which sets out the relevant frameworks that will apply to the private sector lessee.  </w:t>
      </w:r>
    </w:p>
    <w:p w:rsidR="00051D1C" w:rsidRDefault="00986FD8" w:rsidP="00051D1C">
      <w:pPr>
        <w:pStyle w:val="Bulletpoint"/>
        <w:numPr>
          <w:ilvl w:val="0"/>
          <w:numId w:val="0"/>
        </w:numPr>
        <w:rPr>
          <w:rFonts w:asciiTheme="minorHAnsi" w:hAnsiTheme="minorHAnsi" w:cstheme="minorHAnsi"/>
        </w:rPr>
      </w:pPr>
      <w:r>
        <w:t xml:space="preserve">The </w:t>
      </w:r>
      <w:r w:rsidR="003F2CEF">
        <w:t>Australian Competition and Consumer Commission (</w:t>
      </w:r>
      <w:r w:rsidRPr="003F2CEF">
        <w:rPr>
          <w:b/>
        </w:rPr>
        <w:t>ACCC</w:t>
      </w:r>
      <w:r w:rsidR="003F2CEF">
        <w:t>)</w:t>
      </w:r>
      <w:r w:rsidRPr="00BB338E">
        <w:t xml:space="preserve"> is of </w:t>
      </w:r>
      <w:r>
        <w:t xml:space="preserve">the </w:t>
      </w:r>
      <w:r w:rsidRPr="00BB338E">
        <w:t xml:space="preserve">view </w:t>
      </w:r>
      <w:r>
        <w:rPr>
          <w:rFonts w:asciiTheme="minorHAnsi" w:hAnsiTheme="minorHAnsi" w:cstheme="minorHAnsi"/>
        </w:rPr>
        <w:t>that the p</w:t>
      </w:r>
      <w:r w:rsidRPr="00505AD8">
        <w:rPr>
          <w:rFonts w:asciiTheme="minorHAnsi" w:hAnsiTheme="minorHAnsi" w:cstheme="minorHAnsi"/>
        </w:rPr>
        <w:t xml:space="preserve">rivatisation of government owned assets, if implemented appropriately, is </w:t>
      </w:r>
      <w:r w:rsidR="00B3473E">
        <w:rPr>
          <w:rFonts w:asciiTheme="minorHAnsi" w:hAnsiTheme="minorHAnsi" w:cstheme="minorHAnsi"/>
        </w:rPr>
        <w:t>an effective</w:t>
      </w:r>
      <w:r w:rsidRPr="00505AD8">
        <w:rPr>
          <w:rFonts w:asciiTheme="minorHAnsi" w:hAnsiTheme="minorHAnsi" w:cstheme="minorHAnsi"/>
        </w:rPr>
        <w:t xml:space="preserve"> way</w:t>
      </w:r>
      <w:r w:rsidR="00C04B99">
        <w:rPr>
          <w:rFonts w:asciiTheme="minorHAnsi" w:hAnsiTheme="minorHAnsi" w:cstheme="minorHAnsi"/>
        </w:rPr>
        <w:t xml:space="preserve"> in which to promote efficient use </w:t>
      </w:r>
      <w:r w:rsidRPr="00505AD8">
        <w:rPr>
          <w:rFonts w:asciiTheme="minorHAnsi" w:hAnsiTheme="minorHAnsi" w:cstheme="minorHAnsi"/>
        </w:rPr>
        <w:t xml:space="preserve">of infrastructure in the interests of users and the wider community. </w:t>
      </w:r>
      <w:r>
        <w:rPr>
          <w:rFonts w:asciiTheme="minorHAnsi" w:hAnsiTheme="minorHAnsi" w:cstheme="minorHAnsi"/>
        </w:rPr>
        <w:t>However, it is important</w:t>
      </w:r>
      <w:r w:rsidRPr="00505AD8">
        <w:rPr>
          <w:rFonts w:asciiTheme="minorHAnsi" w:hAnsiTheme="minorHAnsi" w:cstheme="minorHAnsi"/>
        </w:rPr>
        <w:t xml:space="preserve"> that governments selling public assets ensure that the appropriate market structure and/or access and pricing arrangements have been put in place as part of the privatisation process.</w:t>
      </w:r>
    </w:p>
    <w:p w:rsidR="00CD0A0D" w:rsidRDefault="00CD0A0D" w:rsidP="00CD0A0D">
      <w:pPr>
        <w:pStyle w:val="Bulletpoint"/>
        <w:numPr>
          <w:ilvl w:val="0"/>
          <w:numId w:val="0"/>
        </w:numPr>
        <w:rPr>
          <w:rFonts w:asciiTheme="minorHAnsi" w:hAnsiTheme="minorHAnsi" w:cstheme="minorHAnsi"/>
        </w:rPr>
      </w:pPr>
      <w:r>
        <w:rPr>
          <w:rFonts w:asciiTheme="minorHAnsi" w:hAnsiTheme="minorHAnsi" w:cstheme="minorHAnsi"/>
        </w:rPr>
        <w:t xml:space="preserve">These are particularly important considerations for the Port of Melbourne, Australia’s largest container and general cargo port. Almost all consumer products imported to and exported from </w:t>
      </w:r>
      <w:r w:rsidR="002B2993">
        <w:rPr>
          <w:rFonts w:asciiTheme="minorHAnsi" w:hAnsiTheme="minorHAnsi" w:cstheme="minorHAnsi"/>
        </w:rPr>
        <w:t xml:space="preserve">the State of </w:t>
      </w:r>
      <w:r>
        <w:rPr>
          <w:rFonts w:asciiTheme="minorHAnsi" w:hAnsiTheme="minorHAnsi" w:cstheme="minorHAnsi"/>
        </w:rPr>
        <w:t xml:space="preserve">Victoria by sea pass through this port. Given this, </w:t>
      </w:r>
      <w:r w:rsidR="00C03729">
        <w:rPr>
          <w:rFonts w:asciiTheme="minorHAnsi" w:hAnsiTheme="minorHAnsi" w:cstheme="minorHAnsi"/>
        </w:rPr>
        <w:t xml:space="preserve">any </w:t>
      </w:r>
      <w:r>
        <w:rPr>
          <w:rFonts w:asciiTheme="minorHAnsi" w:hAnsiTheme="minorHAnsi" w:cstheme="minorHAnsi"/>
        </w:rPr>
        <w:t>monopoly pricing at this port will be paid for by Victorian consumers</w:t>
      </w:r>
      <w:r w:rsidR="00C03729">
        <w:rPr>
          <w:rFonts w:asciiTheme="minorHAnsi" w:hAnsiTheme="minorHAnsi" w:cstheme="minorHAnsi"/>
        </w:rPr>
        <w:t xml:space="preserve"> and exporters</w:t>
      </w:r>
      <w:r>
        <w:rPr>
          <w:rFonts w:asciiTheme="minorHAnsi" w:hAnsiTheme="minorHAnsi" w:cstheme="minorHAnsi"/>
        </w:rPr>
        <w:t xml:space="preserve">. </w:t>
      </w:r>
      <w:r>
        <w:t>It will also negatively impact upon the productivity of Victoria’s economy, impeding growth, international competitiveness and living standards.</w:t>
      </w:r>
    </w:p>
    <w:p w:rsidR="00AB17F7" w:rsidRDefault="00051D1C" w:rsidP="00986FD8">
      <w:r w:rsidRPr="001C7CB3">
        <w:t xml:space="preserve">The ACCC </w:t>
      </w:r>
      <w:r>
        <w:t>notes</w:t>
      </w:r>
      <w:r w:rsidRPr="001C7CB3">
        <w:t xml:space="preserve"> that the majority of the detail on the proposed </w:t>
      </w:r>
      <w:r w:rsidR="00444CF0">
        <w:t xml:space="preserve">arrangements for </w:t>
      </w:r>
      <w:r w:rsidR="00F85C1E">
        <w:t xml:space="preserve">the </w:t>
      </w:r>
      <w:r w:rsidRPr="001C7CB3">
        <w:t xml:space="preserve">privatisation of the Port of Melbourne </w:t>
      </w:r>
      <w:r>
        <w:t xml:space="preserve">will be in </w:t>
      </w:r>
      <w:r w:rsidR="00711E66">
        <w:t>r</w:t>
      </w:r>
      <w:r>
        <w:t>egulations</w:t>
      </w:r>
      <w:r w:rsidR="003F2CEF">
        <w:t xml:space="preserve">, which are </w:t>
      </w:r>
      <w:r>
        <w:t>yet to be tabled</w:t>
      </w:r>
      <w:r w:rsidR="003F2CEF">
        <w:t>,</w:t>
      </w:r>
      <w:r>
        <w:t xml:space="preserve"> and in the relevant lease agreement itself. The ACCC’s observations are therefore restricted to the information that has been released thus far by the Victorian Government.</w:t>
      </w:r>
      <w:r w:rsidR="00F1733C">
        <w:t xml:space="preserve"> </w:t>
      </w:r>
    </w:p>
    <w:p w:rsidR="006F3F50" w:rsidRDefault="003820E4" w:rsidP="00986FD8">
      <w:r>
        <w:t>With</w:t>
      </w:r>
      <w:r w:rsidR="00986FD8">
        <w:t xml:space="preserve"> regards to the proposed privatisation of the Port of Melbourne, </w:t>
      </w:r>
      <w:r w:rsidR="00AB7B04">
        <w:t xml:space="preserve">the ACCC </w:t>
      </w:r>
      <w:r w:rsidR="004872ED">
        <w:t>makes the following comments</w:t>
      </w:r>
      <w:r w:rsidR="006F3F50">
        <w:t>:</w:t>
      </w:r>
    </w:p>
    <w:p w:rsidR="00444CF0" w:rsidRDefault="006F3F50" w:rsidP="001C7CB3">
      <w:pPr>
        <w:pStyle w:val="Bulletpoint"/>
      </w:pPr>
      <w:r>
        <w:t xml:space="preserve">If the </w:t>
      </w:r>
      <w:r w:rsidR="007E2597">
        <w:t>proposed</w:t>
      </w:r>
      <w:r>
        <w:t xml:space="preserve"> compensation </w:t>
      </w:r>
      <w:r w:rsidR="00765B1B">
        <w:t>regime</w:t>
      </w:r>
      <w:r>
        <w:t xml:space="preserve"> does allow for the les</w:t>
      </w:r>
      <w:r w:rsidR="007C2A7B">
        <w:t>s</w:t>
      </w:r>
      <w:r>
        <w:t>e</w:t>
      </w:r>
      <w:r w:rsidR="00FC169E">
        <w:t>e</w:t>
      </w:r>
      <w:r>
        <w:t xml:space="preserve"> to receive compensation for losses incurred due to competition from a second port, </w:t>
      </w:r>
      <w:r w:rsidR="00FC169E">
        <w:t>this</w:t>
      </w:r>
      <w:r>
        <w:t xml:space="preserve"> will be a</w:t>
      </w:r>
      <w:r w:rsidR="00C03729">
        <w:t>n</w:t>
      </w:r>
      <w:r>
        <w:t xml:space="preserve"> </w:t>
      </w:r>
      <w:r w:rsidR="00C03729">
        <w:t>unfortunate</w:t>
      </w:r>
      <w:r>
        <w:t xml:space="preserve"> outcome from a competition policy perspective.</w:t>
      </w:r>
      <w:r w:rsidR="00AB7B04">
        <w:t xml:space="preserve"> </w:t>
      </w:r>
      <w:r w:rsidR="007C2A7B">
        <w:t xml:space="preserve">Such a compensation </w:t>
      </w:r>
      <w:r w:rsidR="008948D1">
        <w:t>regime</w:t>
      </w:r>
      <w:r w:rsidR="007C2A7B">
        <w:t xml:space="preserve"> would be likely to hinder the pr</w:t>
      </w:r>
      <w:r w:rsidR="00F27CE1">
        <w:t xml:space="preserve">ospects of future competition, </w:t>
      </w:r>
      <w:r w:rsidR="007C2A7B">
        <w:t>entrenching substantial market power at the Port of Melbourne.</w:t>
      </w:r>
    </w:p>
    <w:p w:rsidR="006F3F50" w:rsidRDefault="00444CF0" w:rsidP="001C7CB3">
      <w:pPr>
        <w:pStyle w:val="Bulletpoint"/>
      </w:pPr>
      <w:r>
        <w:t>The proposed price monitoring regime with annual price increases capped at the Consumer Price Index (</w:t>
      </w:r>
      <w:r w:rsidRPr="0081789F">
        <w:rPr>
          <w:b/>
        </w:rPr>
        <w:t>CPI</w:t>
      </w:r>
      <w:r>
        <w:t>) will go some way to addressing concerns about monopoly pricing for the first 15 years. However, the ACCC is concerned that</w:t>
      </w:r>
      <w:r w:rsidR="001B13D0">
        <w:t>,</w:t>
      </w:r>
      <w:r w:rsidR="00782F3B">
        <w:t xml:space="preserve"> if </w:t>
      </w:r>
      <w:r w:rsidR="00BA0B8F">
        <w:t xml:space="preserve">price monitoring </w:t>
      </w:r>
      <w:r w:rsidR="00782F3B">
        <w:t xml:space="preserve">alone applies </w:t>
      </w:r>
      <w:r>
        <w:t>after th</w:t>
      </w:r>
      <w:r w:rsidR="00647F0A">
        <w:t>at time</w:t>
      </w:r>
      <w:r w:rsidR="00782F3B">
        <w:t>, then this</w:t>
      </w:r>
      <w:r w:rsidR="00647F0A">
        <w:t xml:space="preserve"> </w:t>
      </w:r>
      <w:r w:rsidR="002B2993">
        <w:t xml:space="preserve">is unlikely </w:t>
      </w:r>
      <w:r>
        <w:t>t</w:t>
      </w:r>
      <w:r w:rsidR="002B2993">
        <w:t>o</w:t>
      </w:r>
      <w:r>
        <w:t xml:space="preserve"> provide a sufficient constraint on substantial market power. The ACCC is of the view that an effective publish-negotiate-arbitrate model should apply</w:t>
      </w:r>
      <w:r w:rsidR="00CD0A0D">
        <w:t xml:space="preserve"> </w:t>
      </w:r>
      <w:r w:rsidR="00782F3B">
        <w:t xml:space="preserve">after the first 15 years </w:t>
      </w:r>
      <w:r>
        <w:t>so as to provide a greater incentive for the Port of Melbourne lessee to offer reasonable access terms and conditions.</w:t>
      </w:r>
      <w:r w:rsidR="007C2A7B">
        <w:t xml:space="preserve"> </w:t>
      </w:r>
    </w:p>
    <w:p w:rsidR="00986FD8" w:rsidRDefault="006F3F50" w:rsidP="001C7CB3">
      <w:pPr>
        <w:pStyle w:val="Bulletpoint"/>
      </w:pPr>
      <w:r>
        <w:t xml:space="preserve">The scope of services </w:t>
      </w:r>
      <w:r w:rsidR="00AB7B04">
        <w:t xml:space="preserve">proposed to be covered by the </w:t>
      </w:r>
      <w:r w:rsidR="009D416A">
        <w:t xml:space="preserve">price monitoring </w:t>
      </w:r>
      <w:r w:rsidR="00AB7B04">
        <w:t>regime</w:t>
      </w:r>
      <w:r w:rsidR="00184465">
        <w:t xml:space="preserve"> does not </w:t>
      </w:r>
      <w:r w:rsidR="00226592">
        <w:t>include</w:t>
      </w:r>
      <w:r w:rsidR="007C2A7B">
        <w:t xml:space="preserve"> all those services to which substantial market power exists</w:t>
      </w:r>
      <w:r w:rsidR="00AB7B04">
        <w:t xml:space="preserve">. Specifically, the ACCC notes that land </w:t>
      </w:r>
      <w:r w:rsidR="00D91161">
        <w:t xml:space="preserve">rent </w:t>
      </w:r>
      <w:r w:rsidR="00AB7B04">
        <w:t xml:space="preserve">costs are excluded from the proposed monitoring framework. </w:t>
      </w:r>
      <w:r w:rsidR="00184465">
        <w:t xml:space="preserve">The </w:t>
      </w:r>
      <w:r w:rsidR="00051D1C">
        <w:t xml:space="preserve">ACCC’s </w:t>
      </w:r>
      <w:r w:rsidR="00184465">
        <w:t xml:space="preserve">concerns about the incentive and ability to exercise substantial market power in land </w:t>
      </w:r>
      <w:r w:rsidR="00D91161">
        <w:t xml:space="preserve">rent </w:t>
      </w:r>
      <w:r w:rsidR="00184465">
        <w:t xml:space="preserve">costs at the Port of Melbourne has been highlighted in </w:t>
      </w:r>
      <w:r w:rsidR="00AB7B04">
        <w:t xml:space="preserve">the </w:t>
      </w:r>
      <w:r w:rsidR="009D416A">
        <w:br/>
      </w:r>
      <w:r w:rsidR="00202923">
        <w:t xml:space="preserve">recently-resolved dispute between </w:t>
      </w:r>
      <w:r w:rsidR="003F2CEF">
        <w:t xml:space="preserve">the </w:t>
      </w:r>
      <w:r w:rsidR="00202923">
        <w:t>Port of Melbourne Corporation</w:t>
      </w:r>
      <w:r w:rsidR="005D32D2">
        <w:t xml:space="preserve"> (</w:t>
      </w:r>
      <w:proofErr w:type="spellStart"/>
      <w:r w:rsidR="005D32D2" w:rsidRPr="00BA0B8F">
        <w:rPr>
          <w:b/>
        </w:rPr>
        <w:t>PoMC</w:t>
      </w:r>
      <w:proofErr w:type="spellEnd"/>
      <w:r w:rsidR="005D32D2">
        <w:t>)</w:t>
      </w:r>
      <w:r w:rsidR="00202923">
        <w:t xml:space="preserve"> and DP World.</w:t>
      </w:r>
      <w:r w:rsidR="007E2597">
        <w:t xml:space="preserve"> </w:t>
      </w:r>
      <w:r w:rsidR="002B7B6B">
        <w:t>Given this, t</w:t>
      </w:r>
      <w:r w:rsidR="007E2597">
        <w:t xml:space="preserve">he ACCC is of the view that land rent costs should be included in the regulatory regime. </w:t>
      </w:r>
    </w:p>
    <w:p w:rsidR="004872ED" w:rsidRDefault="004872ED" w:rsidP="004872ED">
      <w:r>
        <w:t xml:space="preserve">While the ACCC has provided more detailed comment </w:t>
      </w:r>
      <w:r w:rsidR="00444CF0">
        <w:t xml:space="preserve">on the proposed arrangements </w:t>
      </w:r>
      <w:r>
        <w:t xml:space="preserve">in the remainder of this submission, the ACCC would </w:t>
      </w:r>
      <w:r w:rsidR="00444CF0">
        <w:t xml:space="preserve">also </w:t>
      </w:r>
      <w:r>
        <w:t>welcome the opportunity to discuss directly with the relevant persons the specific market structure and regulatory arrangements being proposed.</w:t>
      </w:r>
    </w:p>
    <w:p w:rsidR="008113C4" w:rsidRDefault="008113C4" w:rsidP="00BB338E">
      <w:r>
        <w:t xml:space="preserve">The remainder of this </w:t>
      </w:r>
      <w:r w:rsidR="003F2CEF">
        <w:t xml:space="preserve">submission </w:t>
      </w:r>
      <w:r>
        <w:t>is structured as follows:</w:t>
      </w:r>
    </w:p>
    <w:p w:rsidR="008113C4" w:rsidRDefault="002C6FA2" w:rsidP="008113C4">
      <w:pPr>
        <w:pStyle w:val="ListBullet"/>
      </w:pPr>
      <w:r w:rsidRPr="002C6FA2">
        <w:rPr>
          <w:b/>
        </w:rPr>
        <w:t xml:space="preserve">Section </w:t>
      </w:r>
      <w:r w:rsidR="003F2CEF">
        <w:rPr>
          <w:b/>
        </w:rPr>
        <w:t>2</w:t>
      </w:r>
      <w:r w:rsidR="008113C4">
        <w:t>—</w:t>
      </w:r>
      <w:r w:rsidR="00123FB6">
        <w:t>Privatisations, realising the potential benefits by getting the balance right between short-term and long-term interests</w:t>
      </w:r>
    </w:p>
    <w:p w:rsidR="008113C4" w:rsidRDefault="008113C4" w:rsidP="008113C4">
      <w:pPr>
        <w:pStyle w:val="ListBullet"/>
      </w:pPr>
      <w:r w:rsidRPr="002C6FA2">
        <w:rPr>
          <w:b/>
        </w:rPr>
        <w:t xml:space="preserve">Section </w:t>
      </w:r>
      <w:r w:rsidR="003F2CEF">
        <w:rPr>
          <w:b/>
        </w:rPr>
        <w:t>3</w:t>
      </w:r>
      <w:r>
        <w:t>—Market structure</w:t>
      </w:r>
      <w:r w:rsidR="002C6FA2">
        <w:t xml:space="preserve"> considerations, including observations about the application of</w:t>
      </w:r>
      <w:r w:rsidR="00FA0008">
        <w:t xml:space="preserve"> the</w:t>
      </w:r>
      <w:r w:rsidR="002C6FA2">
        <w:t xml:space="preserve"> compensation </w:t>
      </w:r>
      <w:r w:rsidR="00FA0008">
        <w:t>regime</w:t>
      </w:r>
      <w:r w:rsidR="002C6FA2">
        <w:t xml:space="preserve"> and restrictions on vertical integration</w:t>
      </w:r>
    </w:p>
    <w:p w:rsidR="008113C4" w:rsidRPr="00BB338E" w:rsidRDefault="008113C4" w:rsidP="008113C4">
      <w:pPr>
        <w:pStyle w:val="ListBullet"/>
      </w:pPr>
      <w:r w:rsidRPr="002C6FA2">
        <w:rPr>
          <w:b/>
        </w:rPr>
        <w:t xml:space="preserve">Section </w:t>
      </w:r>
      <w:r w:rsidR="003F2CEF">
        <w:rPr>
          <w:b/>
        </w:rPr>
        <w:t>4</w:t>
      </w:r>
      <w:r>
        <w:t>—Economic regulation</w:t>
      </w:r>
      <w:r w:rsidR="002C6FA2">
        <w:t xml:space="preserve">, </w:t>
      </w:r>
      <w:r w:rsidR="00202923">
        <w:t xml:space="preserve">including </w:t>
      </w:r>
      <w:r w:rsidR="002C6FA2">
        <w:t xml:space="preserve">getting the scope of services right </w:t>
      </w:r>
      <w:r>
        <w:t xml:space="preserve"> </w:t>
      </w:r>
    </w:p>
    <w:p w:rsidR="00BC3135" w:rsidRDefault="00BC3135" w:rsidP="004872ED">
      <w:pPr>
        <w:pStyle w:val="Numbered1"/>
        <w:pageBreakBefore/>
      </w:pPr>
      <w:bookmarkStart w:id="7" w:name="_Toc429052693"/>
      <w:r>
        <w:t>Privatisations</w:t>
      </w:r>
      <w:bookmarkEnd w:id="7"/>
    </w:p>
    <w:p w:rsidR="004872ED" w:rsidRDefault="00051D1C" w:rsidP="00961380">
      <w:r>
        <w:t>The ACCC considers that</w:t>
      </w:r>
      <w:r w:rsidR="004872ED">
        <w:t>,</w:t>
      </w:r>
      <w:r>
        <w:t xml:space="preserve"> if</w:t>
      </w:r>
      <w:r w:rsidR="00BD3C0C" w:rsidRPr="00BB338E">
        <w:t xml:space="preserve"> implemented appropriately, privatisation can </w:t>
      </w:r>
      <w:r w:rsidR="004872ED" w:rsidRPr="00BB338E">
        <w:t xml:space="preserve">facilitate innovative management </w:t>
      </w:r>
      <w:r w:rsidR="004872ED">
        <w:t xml:space="preserve">and </w:t>
      </w:r>
      <w:r w:rsidR="00BD3C0C" w:rsidRPr="00BB338E">
        <w:t>improve the efficiency of in</w:t>
      </w:r>
      <w:r w:rsidR="006221D1">
        <w:t>frastructure</w:t>
      </w:r>
      <w:r w:rsidR="00BD3C0C" w:rsidRPr="00BB338E">
        <w:t xml:space="preserve"> in the interests of users and the general community.</w:t>
      </w:r>
      <w:r w:rsidR="004872ED">
        <w:t xml:space="preserve"> </w:t>
      </w:r>
    </w:p>
    <w:p w:rsidR="00961380" w:rsidRDefault="002C6FA2" w:rsidP="00961380">
      <w:r>
        <w:t xml:space="preserve">However, </w:t>
      </w:r>
      <w:r w:rsidR="004872ED">
        <w:t xml:space="preserve">the </w:t>
      </w:r>
      <w:r w:rsidR="00961380">
        <w:t>economic efficiency benefits will only be realised where there is strong potential for competition or where, in the absence of competition due to monopoly or near monopoly characteristics, there are appropriate structural reforms and/or sufficient regulatory oversight to ensure that competition in upstream or downstream markets is not hindered.</w:t>
      </w:r>
    </w:p>
    <w:p w:rsidR="00961380" w:rsidRDefault="00961380" w:rsidP="00961380">
      <w:r>
        <w:t xml:space="preserve">The ACCC considers that governments should appropriately deal with these issues early and upfront in the privatisation process. This provides greater certainty for bidders than </w:t>
      </w:r>
      <w:r w:rsidR="009D416A">
        <w:br/>
      </w:r>
      <w:r>
        <w:t>ex</w:t>
      </w:r>
      <w:r w:rsidR="002C6FA2">
        <w:t>-</w:t>
      </w:r>
      <w:r>
        <w:t>post arrangements and is essential for promoting efficient investment incentives. By understanding how assets will be structured and regulated upfront, potential acquirers of assets can factor these arrangements into their purchase price and bid accordingly.</w:t>
      </w:r>
    </w:p>
    <w:p w:rsidR="00BC3135" w:rsidRDefault="00961380" w:rsidP="00961380">
      <w:r>
        <w:t>These are not new issues. The 1995 Competition Principles Agreement recognised that in relation to structural reform of and prior to the privatisation of public monopolies, governments should undertake a review into, relevantly:</w:t>
      </w:r>
      <w:r>
        <w:rPr>
          <w:rStyle w:val="FootnoteReference"/>
        </w:rPr>
        <w:footnoteReference w:id="1"/>
      </w:r>
    </w:p>
    <w:p w:rsidR="00961380" w:rsidRDefault="00961380" w:rsidP="00961380">
      <w:pPr>
        <w:pStyle w:val="Quote"/>
      </w:pPr>
      <w:r>
        <w:t>(b)</w:t>
      </w:r>
      <w:r>
        <w:tab/>
      </w:r>
      <w:r>
        <w:tab/>
      </w:r>
      <w:proofErr w:type="gramStart"/>
      <w:r>
        <w:t>the</w:t>
      </w:r>
      <w:proofErr w:type="gramEnd"/>
      <w:r>
        <w:t xml:space="preserve"> merits of separating any natural monopoly elements from potentially </w:t>
      </w:r>
      <w:r>
        <w:tab/>
      </w:r>
      <w:r>
        <w:tab/>
      </w:r>
      <w:r>
        <w:tab/>
      </w:r>
      <w:r>
        <w:tab/>
        <w:t>competitive elements of the public monopoly;</w:t>
      </w:r>
    </w:p>
    <w:p w:rsidR="00961380" w:rsidRDefault="00961380" w:rsidP="00961380">
      <w:pPr>
        <w:pStyle w:val="Quote"/>
      </w:pPr>
      <w:r>
        <w:t>(c)</w:t>
      </w:r>
      <w:r>
        <w:tab/>
      </w:r>
      <w:r>
        <w:tab/>
      </w:r>
      <w:proofErr w:type="gramStart"/>
      <w:r>
        <w:t>the</w:t>
      </w:r>
      <w:proofErr w:type="gramEnd"/>
      <w:r>
        <w:t xml:space="preserve"> merits of separating potentially competitive elements of the public </w:t>
      </w:r>
      <w:r>
        <w:tab/>
      </w:r>
      <w:r>
        <w:tab/>
      </w:r>
      <w:r>
        <w:tab/>
      </w:r>
      <w:r>
        <w:tab/>
      </w:r>
      <w:r>
        <w:tab/>
        <w:t>monopoly;</w:t>
      </w:r>
    </w:p>
    <w:p w:rsidR="005B1CF5" w:rsidRPr="005B1CF5" w:rsidRDefault="005B1CF5" w:rsidP="005B1CF5">
      <w:pPr>
        <w:pStyle w:val="Quote"/>
      </w:pPr>
      <w:r>
        <w:tab/>
      </w:r>
      <w:r>
        <w:tab/>
        <w:t>…</w:t>
      </w:r>
    </w:p>
    <w:p w:rsidR="00961380" w:rsidRDefault="00961380" w:rsidP="00961380">
      <w:pPr>
        <w:pStyle w:val="Quote"/>
      </w:pPr>
      <w:r>
        <w:t>(g)</w:t>
      </w:r>
      <w:r>
        <w:tab/>
      </w:r>
      <w:r>
        <w:tab/>
      </w:r>
      <w:proofErr w:type="gramStart"/>
      <w:r>
        <w:t>the</w:t>
      </w:r>
      <w:proofErr w:type="gramEnd"/>
      <w:r>
        <w:t xml:space="preserve"> price and service regulations to be applied to the industry</w:t>
      </w:r>
      <w:r w:rsidR="00607284">
        <w:t>.</w:t>
      </w:r>
    </w:p>
    <w:p w:rsidR="00961380" w:rsidRDefault="00961380" w:rsidP="00961380">
      <w:r>
        <w:t xml:space="preserve">Experience with government privatisations over recent decades has shown that acting in accordance with these principles promotes competitive outcomes. In the electricity sector, for example, getting the market structure right was key to </w:t>
      </w:r>
      <w:r w:rsidR="0061175D">
        <w:t>facilitating</w:t>
      </w:r>
      <w:r>
        <w:t xml:space="preserve"> effective competition</w:t>
      </w:r>
      <w:r w:rsidR="002C6FA2">
        <w:t xml:space="preserve"> during the development of the </w:t>
      </w:r>
      <w:r w:rsidR="00D17DC5">
        <w:t>National Energy Market (</w:t>
      </w:r>
      <w:r w:rsidR="002C6FA2" w:rsidRPr="001C7CB3">
        <w:rPr>
          <w:b/>
        </w:rPr>
        <w:t>NEM</w:t>
      </w:r>
      <w:r w:rsidR="00D17DC5">
        <w:t>)</w:t>
      </w:r>
      <w:r w:rsidR="002C6FA2">
        <w:t xml:space="preserve"> in the 1990s</w:t>
      </w:r>
      <w:r>
        <w:t>.</w:t>
      </w:r>
    </w:p>
    <w:p w:rsidR="00961380" w:rsidRDefault="00961380" w:rsidP="00961380">
      <w:r>
        <w:t>In recent years, Australian governments have made a series of announcements regarding the privatisation of key infrastructure assets and have also announced the projects th</w:t>
      </w:r>
      <w:r w:rsidR="00D17DC5">
        <w:t>ey</w:t>
      </w:r>
      <w:r>
        <w:t xml:space="preserve"> will invest </w:t>
      </w:r>
      <w:r w:rsidR="001F1125">
        <w:t xml:space="preserve">in </w:t>
      </w:r>
      <w:r w:rsidR="00D17DC5">
        <w:t>as a result of the profits generated from these privatisations.</w:t>
      </w:r>
      <w:r>
        <w:t xml:space="preserve"> </w:t>
      </w:r>
    </w:p>
    <w:p w:rsidR="00961380" w:rsidRDefault="00961380" w:rsidP="00961380">
      <w:r>
        <w:t>This creates a strong incentive for governments to structure their privatisation processes in a manner that maximises the sale price they receive. There is a risk that, in order to maximise sale prices, governments will have little incentive to closely examine whether the market structure and regulatory arrangements that will apply post-privatisation are conducive to competition. For example, while privatising two potentially competing assets as a package may increase the sale price (as compared to selling the assets to separate owners) this increased sale price would be received at the expense of competition. In the longer term, a less competitive market structure will lead to high</w:t>
      </w:r>
      <w:r w:rsidR="00D17DC5">
        <w:t>er</w:t>
      </w:r>
      <w:r>
        <w:t xml:space="preserve"> priced and lower quality goods and services for consumers. It will also negatively impact upon the productivity of Australia’s economy, impeding growth, international competitiveness and living standards. </w:t>
      </w:r>
    </w:p>
    <w:p w:rsidR="00961380" w:rsidRDefault="00961380" w:rsidP="00961380">
      <w:r>
        <w:t>As the ACCC has noted in a number of fora, this scenario can be considered to effectively impose a tax on future generations of Australians.</w:t>
      </w:r>
      <w:r>
        <w:rPr>
          <w:rStyle w:val="FootnoteReference"/>
        </w:rPr>
        <w:footnoteReference w:id="2"/>
      </w:r>
      <w:r>
        <w:t xml:space="preserve"> </w:t>
      </w:r>
    </w:p>
    <w:p w:rsidR="00961380" w:rsidRDefault="00961380" w:rsidP="00961380">
      <w:r>
        <w:t xml:space="preserve">This is not </w:t>
      </w:r>
      <w:r w:rsidR="0013173F">
        <w:t xml:space="preserve">just </w:t>
      </w:r>
      <w:r>
        <w:t xml:space="preserve">a theoretical possibility. When Sydney Airport was sold for $5.6 billion in June 2002, the Commonwealth </w:t>
      </w:r>
      <w:r w:rsidR="005B1CF5">
        <w:t>G</w:t>
      </w:r>
      <w:r>
        <w:t xml:space="preserve">overnment provided the acquirer the valuable right of first refusal to operate a second Sydney airport (which has since been announced to be located at </w:t>
      </w:r>
      <w:proofErr w:type="spellStart"/>
      <w:r>
        <w:t>Badgery’s</w:t>
      </w:r>
      <w:proofErr w:type="spellEnd"/>
      <w:r>
        <w:t xml:space="preserve"> Creek). The National Audit Office has found that the sale price for Sydney Airport was higher than a number of possible valuation benchmarks, </w:t>
      </w:r>
      <w:r w:rsidR="009D416A">
        <w:t xml:space="preserve">including </w:t>
      </w:r>
      <w:r>
        <w:t xml:space="preserve">the government’s own estimate of the sale price in the 2001-02 budget. The ACCC considers that the higher sale price was likely a reflection of a valuation premium associated with the right of first refusal option. The right of first refusal confers on Sydney Airport a monopoly over the supply of aeronautical services for international and most domestic flights in the Sydney Basin, and forecloses the potential for competition between Sydney Airport and an independent operator of a second airport. </w:t>
      </w:r>
      <w:r w:rsidR="0061175D">
        <w:t>In the ACCC’s view i</w:t>
      </w:r>
      <w:r>
        <w:t>nclusion of this right of first refusal increased the sale price but is likely to have had an anti-competitive impact on the aviation sector.</w:t>
      </w:r>
      <w:r w:rsidR="005677C5">
        <w:rPr>
          <w:rStyle w:val="FootnoteReference"/>
        </w:rPr>
        <w:footnoteReference w:id="3"/>
      </w:r>
      <w:r>
        <w:t xml:space="preserve"> </w:t>
      </w:r>
    </w:p>
    <w:p w:rsidR="00961380" w:rsidRDefault="00961380" w:rsidP="00961380">
      <w:r>
        <w:t xml:space="preserve">Regarding the proposed privatisation of the Port of Melbourne, the ACCC </w:t>
      </w:r>
      <w:r w:rsidR="00051D1C">
        <w:t>notes that the majority of the det</w:t>
      </w:r>
      <w:r w:rsidR="00DB1482">
        <w:t xml:space="preserve">ail will be in </w:t>
      </w:r>
      <w:r w:rsidR="004872ED">
        <w:t xml:space="preserve">the </w:t>
      </w:r>
      <w:r w:rsidR="00AD090D">
        <w:t>r</w:t>
      </w:r>
      <w:r w:rsidR="004872ED">
        <w:t>egulations, which are yet to be tabled, and in the relevant lease agreement itself</w:t>
      </w:r>
      <w:r w:rsidR="00DB1482">
        <w:t>.</w:t>
      </w:r>
      <w:r>
        <w:t xml:space="preserve"> The ACCC </w:t>
      </w:r>
      <w:r w:rsidR="00D17DC5">
        <w:t xml:space="preserve">has already expressed concern in other fora about the use of rent increases as a method to increase the sale price of the Port of Melbourne, and </w:t>
      </w:r>
      <w:r>
        <w:t xml:space="preserve">would have similar concerns to those raised above if the privatisation of the Port of Melbourne occurs without appropriate consideration of the above issues.  </w:t>
      </w:r>
    </w:p>
    <w:p w:rsidR="00BC3135" w:rsidRDefault="00BC3135" w:rsidP="00BC3135">
      <w:pPr>
        <w:pStyle w:val="Numbered1"/>
      </w:pPr>
      <w:bookmarkStart w:id="8" w:name="_Toc429052694"/>
      <w:r>
        <w:t>Market structure</w:t>
      </w:r>
      <w:bookmarkEnd w:id="8"/>
    </w:p>
    <w:p w:rsidR="006C7E65" w:rsidRDefault="00961380" w:rsidP="006C7E65">
      <w:r>
        <w:t>The ACCC is of the view that governments should consider the potential merits of structural reform when privatising assets. As no regulator in Australia has the statutory power to impose compulsory functional separation in any industry sector, it is a matter for governments to make policy decisions to implement structural measures in particular industries. The ACCC notes that the merits of structural reform, and the form they take, need to be considered on a case by case basis.</w:t>
      </w:r>
      <w:r w:rsidR="006C7E65">
        <w:t xml:space="preserve"> </w:t>
      </w:r>
    </w:p>
    <w:p w:rsidR="006C7E65" w:rsidRDefault="006C7E65" w:rsidP="006C7E65">
      <w:r w:rsidRPr="002B7B6B">
        <w:t>This aligns with the recommendations by the Organisation for Economic Co-operation and Development (</w:t>
      </w:r>
      <w:r w:rsidRPr="002B7B6B">
        <w:rPr>
          <w:b/>
        </w:rPr>
        <w:t>OECD</w:t>
      </w:r>
      <w:r w:rsidRPr="002B7B6B">
        <w:t xml:space="preserve">) which call for governments to consider the </w:t>
      </w:r>
      <w:r w:rsidR="002B7B6B" w:rsidRPr="002B7B6B">
        <w:t>costs and benefits</w:t>
      </w:r>
      <w:r w:rsidRPr="002B7B6B">
        <w:t xml:space="preserve"> of separating the structure of a regulated firm’s activities</w:t>
      </w:r>
      <w:r w:rsidR="002B7B6B" w:rsidRPr="002B7B6B">
        <w:t xml:space="preserve">, particularly in the context of </w:t>
      </w:r>
      <w:r w:rsidR="002B7B6B" w:rsidRPr="00D25D9C">
        <w:rPr>
          <w:rStyle w:val="normal-h"/>
          <w:rFonts w:cs="Arial"/>
          <w:color w:val="000000"/>
        </w:rPr>
        <w:t>privatisation, liberalisation or regulatory reform.</w:t>
      </w:r>
      <w:r w:rsidR="00D25D9C">
        <w:rPr>
          <w:rStyle w:val="FootnoteReference"/>
          <w:rFonts w:cs="Arial"/>
          <w:color w:val="000000"/>
        </w:rPr>
        <w:footnoteReference w:id="4"/>
      </w:r>
      <w:r>
        <w:t xml:space="preserve"> The OECD notes that:</w:t>
      </w:r>
    </w:p>
    <w:p w:rsidR="00961380" w:rsidRDefault="006C7E65" w:rsidP="006C7E65">
      <w:pPr>
        <w:pStyle w:val="Quote"/>
      </w:pPr>
      <w:r>
        <w:t>When a firm provides products or services regulated by government, structural separation may be required so as not to hinder the entry of competitors in the market.</w:t>
      </w:r>
      <w:r>
        <w:rPr>
          <w:rStyle w:val="FootnoteReference"/>
        </w:rPr>
        <w:footnoteReference w:id="5"/>
      </w:r>
      <w:r>
        <w:t xml:space="preserve"> </w:t>
      </w:r>
      <w:r w:rsidR="00961380">
        <w:t xml:space="preserve"> </w:t>
      </w:r>
    </w:p>
    <w:p w:rsidR="00961380" w:rsidRDefault="00961380" w:rsidP="00961380">
      <w:r>
        <w:t xml:space="preserve">With respect to the Port of Melbourne, the ACCC can provide comment on certain aspects of the </w:t>
      </w:r>
      <w:r w:rsidR="00243F4C">
        <w:t xml:space="preserve">proposed lease </w:t>
      </w:r>
      <w:r w:rsidR="007632EE">
        <w:t xml:space="preserve">that are relevant to market structure considerations. For example, </w:t>
      </w:r>
      <w:r>
        <w:t xml:space="preserve">the features of the </w:t>
      </w:r>
      <w:r w:rsidR="00300293">
        <w:t xml:space="preserve">proposed </w:t>
      </w:r>
      <w:r>
        <w:t xml:space="preserve">compensation </w:t>
      </w:r>
      <w:r w:rsidR="003A5612">
        <w:t>regime</w:t>
      </w:r>
      <w:r>
        <w:t xml:space="preserve"> that have been raised publicly</w:t>
      </w:r>
      <w:r w:rsidR="007632EE">
        <w:t xml:space="preserve"> and </w:t>
      </w:r>
      <w:r w:rsidR="00987F46">
        <w:t xml:space="preserve">the importance of </w:t>
      </w:r>
      <w:r w:rsidR="004434D5">
        <w:t xml:space="preserve">governments </w:t>
      </w:r>
      <w:r w:rsidR="00987F46">
        <w:t xml:space="preserve">giving consideration to vertical integration </w:t>
      </w:r>
      <w:r w:rsidR="004434D5">
        <w:t xml:space="preserve">issues. </w:t>
      </w:r>
      <w:r w:rsidR="00987F46">
        <w:t xml:space="preserve"> </w:t>
      </w:r>
      <w:r>
        <w:t xml:space="preserve"> </w:t>
      </w:r>
    </w:p>
    <w:p w:rsidR="00680131" w:rsidRDefault="00680131" w:rsidP="006C7E65">
      <w:pPr>
        <w:pStyle w:val="Numbered11"/>
        <w:keepNext/>
      </w:pPr>
      <w:bookmarkStart w:id="9" w:name="_Toc429052695"/>
      <w:r>
        <w:t>Proposed lease terms for the privatised Port of Melbourne</w:t>
      </w:r>
      <w:bookmarkEnd w:id="9"/>
    </w:p>
    <w:p w:rsidR="00C36D3C" w:rsidRDefault="007632EE" w:rsidP="00CD0A0D">
      <w:r>
        <w:t>The ACCC understands that t</w:t>
      </w:r>
      <w:r w:rsidR="00987F46">
        <w:t>he proposed privatisation is for a 50 to 70 year lease of</w:t>
      </w:r>
      <w:r w:rsidR="00E03190">
        <w:t xml:space="preserve"> </w:t>
      </w:r>
      <w:r w:rsidR="00987F46">
        <w:t xml:space="preserve">all commercial operations at the Port of Melbourne, with functions relating to safety, security and </w:t>
      </w:r>
      <w:r w:rsidR="00E776CB">
        <w:t xml:space="preserve">the </w:t>
      </w:r>
      <w:r w:rsidR="00987F46">
        <w:t>environment remaining in public hands. The</w:t>
      </w:r>
      <w:r w:rsidR="0061175D">
        <w:t xml:space="preserve"> ACCC understands that the</w:t>
      </w:r>
      <w:r w:rsidR="00987F46">
        <w:t xml:space="preserve"> </w:t>
      </w:r>
      <w:r w:rsidR="009D416A">
        <w:t xml:space="preserve">proposed lease terms </w:t>
      </w:r>
      <w:r w:rsidR="00987F46">
        <w:t xml:space="preserve">include a compensation </w:t>
      </w:r>
      <w:r w:rsidR="008557E7">
        <w:t xml:space="preserve">regime </w:t>
      </w:r>
      <w:r w:rsidR="00987F46">
        <w:t xml:space="preserve">that compensates the lessee of the Port of Melbourne if a subsequent policy of the state government affects the </w:t>
      </w:r>
      <w:r w:rsidR="005325B0">
        <w:t xml:space="preserve">international </w:t>
      </w:r>
      <w:r w:rsidR="00987F46">
        <w:t xml:space="preserve">throughput at the port prior to it reaching capacity. </w:t>
      </w:r>
    </w:p>
    <w:p w:rsidR="00961380" w:rsidRDefault="00961380" w:rsidP="00CD0A0D">
      <w:pPr>
        <w:pStyle w:val="Heading3"/>
        <w:keepNext/>
      </w:pPr>
      <w:bookmarkStart w:id="10" w:name="_Toc429052696"/>
      <w:r>
        <w:t xml:space="preserve">Compensation </w:t>
      </w:r>
      <w:r w:rsidR="008557E7">
        <w:t>regime</w:t>
      </w:r>
      <w:bookmarkEnd w:id="10"/>
    </w:p>
    <w:p w:rsidR="0028101E" w:rsidRDefault="00961380" w:rsidP="0028101E">
      <w:r>
        <w:t xml:space="preserve">Regarding the proposed compensation </w:t>
      </w:r>
      <w:r w:rsidR="00750F66">
        <w:t>regime</w:t>
      </w:r>
      <w:r>
        <w:t xml:space="preserve">, the ACCC has not seen the details of the provision as it is envisaged that this will be a term of the relevant lease rather than being provided for in legislation. However, </w:t>
      </w:r>
      <w:r w:rsidR="0028101E">
        <w:t>the Victorian Government has stated that:</w:t>
      </w:r>
    </w:p>
    <w:p w:rsidR="0028101E" w:rsidRPr="00096CB1" w:rsidRDefault="00776908" w:rsidP="0028101E">
      <w:pPr>
        <w:ind w:left="680"/>
        <w:rPr>
          <w:i/>
        </w:rPr>
      </w:pPr>
      <w:r>
        <w:rPr>
          <w:i/>
        </w:rPr>
        <w:t>T</w:t>
      </w:r>
      <w:r w:rsidR="0028101E" w:rsidRPr="00096CB1">
        <w:rPr>
          <w:i/>
        </w:rPr>
        <w:t xml:space="preserve">he leaseholder may be compensated if a second port is developed by the State [of Victoria] during the lease term and takes international container capacity that would </w:t>
      </w:r>
      <w:r>
        <w:rPr>
          <w:i/>
        </w:rPr>
        <w:t xml:space="preserve">have </w:t>
      </w:r>
      <w:r w:rsidR="0028101E" w:rsidRPr="00096CB1">
        <w:rPr>
          <w:i/>
        </w:rPr>
        <w:t>be</w:t>
      </w:r>
      <w:r>
        <w:rPr>
          <w:i/>
        </w:rPr>
        <w:t>en</w:t>
      </w:r>
      <w:r w:rsidR="0028101E" w:rsidRPr="00096CB1">
        <w:rPr>
          <w:i/>
        </w:rPr>
        <w:t xml:space="preserve"> accommodated at the Port of Melbourne away from it.</w:t>
      </w:r>
      <w:r w:rsidR="0028101E" w:rsidRPr="003234A1">
        <w:rPr>
          <w:rStyle w:val="FootnoteReference"/>
        </w:rPr>
        <w:footnoteReference w:id="6"/>
      </w:r>
      <w:r w:rsidR="0028101E" w:rsidRPr="00096CB1">
        <w:rPr>
          <w:i/>
        </w:rPr>
        <w:t xml:space="preserve"> </w:t>
      </w:r>
    </w:p>
    <w:p w:rsidR="0028101E" w:rsidRDefault="0028101E" w:rsidP="0028101E">
      <w:r>
        <w:t xml:space="preserve">The ACCC understands that there are a number of limitations on the operation of the compensation </w:t>
      </w:r>
      <w:r w:rsidR="00AE1FBD">
        <w:t>regime,</w:t>
      </w:r>
      <w:r>
        <w:t xml:space="preserve"> namely:</w:t>
      </w:r>
    </w:p>
    <w:p w:rsidR="0028101E" w:rsidRDefault="0028101E" w:rsidP="0028101E">
      <w:pPr>
        <w:pStyle w:val="ListParagraph"/>
        <w:numPr>
          <w:ilvl w:val="0"/>
          <w:numId w:val="36"/>
        </w:numPr>
      </w:pPr>
      <w:r>
        <w:t xml:space="preserve">the compensation </w:t>
      </w:r>
      <w:r w:rsidR="00AE1FBD">
        <w:t>regime</w:t>
      </w:r>
      <w:r>
        <w:t xml:space="preserve"> will </w:t>
      </w:r>
      <w:r w:rsidR="00776908">
        <w:t xml:space="preserve">not </w:t>
      </w:r>
      <w:r>
        <w:t xml:space="preserve">apply </w:t>
      </w:r>
      <w:r w:rsidR="00776908">
        <w:t>after</w:t>
      </w:r>
      <w:r>
        <w:t xml:space="preserve"> throughput at the Port of Melbourne reaches </w:t>
      </w:r>
      <w:r w:rsidR="00E6622E">
        <w:t>‘</w:t>
      </w:r>
      <w:r>
        <w:t>capacity</w:t>
      </w:r>
      <w:r w:rsidR="00E6622E">
        <w:t>’</w:t>
      </w:r>
      <w:r w:rsidR="00E6622E">
        <w:rPr>
          <w:rStyle w:val="FootnoteReference"/>
        </w:rPr>
        <w:footnoteReference w:id="7"/>
      </w:r>
      <w:r>
        <w:t>; and</w:t>
      </w:r>
    </w:p>
    <w:p w:rsidR="0028101E" w:rsidRPr="00C4022F" w:rsidRDefault="0028101E" w:rsidP="0028101E">
      <w:pPr>
        <w:pStyle w:val="ListParagraph"/>
        <w:numPr>
          <w:ilvl w:val="0"/>
          <w:numId w:val="36"/>
        </w:numPr>
      </w:pPr>
      <w:proofErr w:type="gramStart"/>
      <w:r w:rsidRPr="0028101E">
        <w:t>the</w:t>
      </w:r>
      <w:proofErr w:type="gramEnd"/>
      <w:r w:rsidRPr="0028101E">
        <w:t xml:space="preserve"> </w:t>
      </w:r>
      <w:r w:rsidR="00AE1FBD">
        <w:t>regime</w:t>
      </w:r>
      <w:r w:rsidRPr="0028101E">
        <w:t xml:space="preserve"> does not apply if a private party decides to build a new port.</w:t>
      </w:r>
    </w:p>
    <w:p w:rsidR="00961380" w:rsidRDefault="0028101E" w:rsidP="00961380">
      <w:r>
        <w:t xml:space="preserve">Despite these limitations, the </w:t>
      </w:r>
      <w:r w:rsidR="00C03729">
        <w:t>proposed</w:t>
      </w:r>
      <w:r>
        <w:t xml:space="preserve"> compensation regime </w:t>
      </w:r>
      <w:r w:rsidR="00CD0A0D">
        <w:t xml:space="preserve">would be </w:t>
      </w:r>
      <w:r w:rsidR="00961380">
        <w:t>a</w:t>
      </w:r>
      <w:r w:rsidR="00C03729">
        <w:t>n</w:t>
      </w:r>
      <w:r w:rsidR="00961380">
        <w:t xml:space="preserve"> </w:t>
      </w:r>
      <w:r w:rsidR="00C03729">
        <w:t>unfortunate</w:t>
      </w:r>
      <w:r w:rsidR="00961380">
        <w:t xml:space="preserve"> outcome from a competition policy perspective.</w:t>
      </w:r>
    </w:p>
    <w:p w:rsidR="00961380" w:rsidRDefault="00961380" w:rsidP="00961380">
      <w:r>
        <w:t xml:space="preserve">While the ACCC appreciates that governments have broader interests than competition policy to consider, the ACCC has consistently said that it is important that privatisation does not create or maintain a market structure that will hinder future competition. </w:t>
      </w:r>
      <w:r w:rsidR="001D234E">
        <w:t>T</w:t>
      </w:r>
      <w:r>
        <w:t xml:space="preserve">he ACCC is concerned that the compensation </w:t>
      </w:r>
      <w:r w:rsidR="00AE1FBD">
        <w:t xml:space="preserve">regime </w:t>
      </w:r>
      <w:r>
        <w:t>will have this effect and will entrench monopoly power at the port.</w:t>
      </w:r>
    </w:p>
    <w:p w:rsidR="00961380" w:rsidRDefault="00961380" w:rsidP="0075537F">
      <w:pPr>
        <w:pStyle w:val="Heading3"/>
      </w:pPr>
      <w:bookmarkStart w:id="11" w:name="_Toc429052697"/>
      <w:r>
        <w:t>Restrictions on vertical integration</w:t>
      </w:r>
      <w:bookmarkEnd w:id="11"/>
    </w:p>
    <w:p w:rsidR="00961380" w:rsidRDefault="00961380" w:rsidP="00961380">
      <w:r>
        <w:t xml:space="preserve">While the ACCC cautions against imposing unnecessary restrictions on firms’ ability to participate in markets, the ACCC encourages governments to consider integration issues that could raise </w:t>
      </w:r>
      <w:r w:rsidR="00E93F07">
        <w:t xml:space="preserve">competition </w:t>
      </w:r>
      <w:r>
        <w:t xml:space="preserve">concerns in the future. </w:t>
      </w:r>
    </w:p>
    <w:p w:rsidR="00961380" w:rsidRDefault="00961380" w:rsidP="00961380">
      <w:r>
        <w:t xml:space="preserve">Where the sale of an asset is likely to confer enduring market power, governments should carefully consider at the beginning of a privatisation process whether legislative restrictions on vertical integration might be warranted. </w:t>
      </w:r>
      <w:r w:rsidR="00CD0A0D">
        <w:t>If deemed appropriate, this may involve the exclusion of certain parties who operate up and/or downstream from bidding for the Port of Melbourne or the imposition of limits on the vertical integration interests the port lessee may have in the future.</w:t>
      </w:r>
    </w:p>
    <w:p w:rsidR="00961380" w:rsidRDefault="00961380" w:rsidP="00961380">
      <w:r>
        <w:t>For example, the Commonwealth Government used legislative measures to address vertical integration concerns in the telecommunications industry by imposing wholesale-only restrictions and provision for ownership restrictions on the National Broadband Network (</w:t>
      </w:r>
      <w:r w:rsidRPr="00961380">
        <w:rPr>
          <w:b/>
        </w:rPr>
        <w:t>NBN</w:t>
      </w:r>
      <w:r>
        <w:t xml:space="preserve">). Having these restrictions in legislation ensures structural separation should not be subverted in the future by allowing NBN to directly supply services to retail customers, or entering into ownership arrangements with retailers and other carriers. </w:t>
      </w:r>
    </w:p>
    <w:p w:rsidR="00BC3135" w:rsidRDefault="00927438" w:rsidP="006C7E65">
      <w:pPr>
        <w:pStyle w:val="Numbered1"/>
      </w:pPr>
      <w:bookmarkStart w:id="12" w:name="_Toc429052698"/>
      <w:r>
        <w:t>Economic r</w:t>
      </w:r>
      <w:r w:rsidR="00BC3135">
        <w:t>egulat</w:t>
      </w:r>
      <w:r>
        <w:t>ion</w:t>
      </w:r>
      <w:bookmarkEnd w:id="12"/>
    </w:p>
    <w:p w:rsidR="002C3859" w:rsidRDefault="00C94C7A" w:rsidP="007E2597">
      <w:pPr>
        <w:keepNext/>
      </w:pPr>
      <w:r>
        <w:t xml:space="preserve">The </w:t>
      </w:r>
      <w:r w:rsidR="00050C4C">
        <w:t xml:space="preserve">appropriate </w:t>
      </w:r>
      <w:r>
        <w:t>form of economic regulation and the mechanism used to implement the arrangements is not a ‘one size fits all’ exercise</w:t>
      </w:r>
      <w:r w:rsidR="002C3859">
        <w:t xml:space="preserve"> a</w:t>
      </w:r>
      <w:r w:rsidR="00A725A5">
        <w:t>nd d</w:t>
      </w:r>
      <w:r w:rsidR="002C3859">
        <w:t>epends on the type of market and the nature of the competition concerns relevant to the circumstances</w:t>
      </w:r>
      <w:r>
        <w:t xml:space="preserve">. </w:t>
      </w:r>
      <w:r w:rsidR="00050C4C">
        <w:t xml:space="preserve">As recognised in the </w:t>
      </w:r>
      <w:r w:rsidR="008838D9">
        <w:t xml:space="preserve">1995 </w:t>
      </w:r>
      <w:r w:rsidR="00050C4C">
        <w:t>Co</w:t>
      </w:r>
      <w:r w:rsidR="008838D9">
        <w:t>mpetition Principles Agreement,</w:t>
      </w:r>
      <w:r w:rsidR="00050C4C">
        <w:t xml:space="preserve"> t</w:t>
      </w:r>
      <w:r w:rsidR="002C3859">
        <w:t>here is a broad spectrum of possible regulatory tools, including:</w:t>
      </w:r>
    </w:p>
    <w:p w:rsidR="002C3859" w:rsidRDefault="002C3859" w:rsidP="002C3859">
      <w:pPr>
        <w:pStyle w:val="ListBullet"/>
      </w:pPr>
      <w:r>
        <w:t>monitoring and information gathering</w:t>
      </w:r>
      <w:r w:rsidR="00AE1FBD">
        <w:t xml:space="preserve">, </w:t>
      </w:r>
      <w:r w:rsidRPr="002C3859">
        <w:t>which can be a useful tool to provide information to governments, regulators and the wider community about the</w:t>
      </w:r>
      <w:r>
        <w:t xml:space="preserve"> </w:t>
      </w:r>
      <w:r w:rsidRPr="002C3859">
        <w:t>transitional impact of deregulation and other reforms on price levels in particular industries;</w:t>
      </w:r>
    </w:p>
    <w:p w:rsidR="002C3859" w:rsidRDefault="002C3859" w:rsidP="002C3859">
      <w:pPr>
        <w:pStyle w:val="ListBullet"/>
      </w:pPr>
      <w:r>
        <w:t>negotiation and arbitration</w:t>
      </w:r>
      <w:r w:rsidR="00AE1FBD">
        <w:t>,</w:t>
      </w:r>
      <w:r>
        <w:t xml:space="preserve"> such as </w:t>
      </w:r>
      <w:r w:rsidRPr="002C3859">
        <w:t>where access is required to a structurally separated monopoly service in order to compete in an upstream or downstream market; and</w:t>
      </w:r>
    </w:p>
    <w:p w:rsidR="00C94C7A" w:rsidRDefault="002C3859" w:rsidP="002C3859">
      <w:pPr>
        <w:pStyle w:val="ListBullet"/>
      </w:pPr>
      <w:r>
        <w:t>ex</w:t>
      </w:r>
      <w:r w:rsidR="00312362">
        <w:t>-</w:t>
      </w:r>
      <w:r>
        <w:t>ante (upfront) determination of terms and conditions</w:t>
      </w:r>
      <w:r w:rsidR="00AE1FBD">
        <w:t xml:space="preserve">, </w:t>
      </w:r>
      <w:r>
        <w:t xml:space="preserve">such as </w:t>
      </w:r>
      <w:r w:rsidRPr="002C3859">
        <w:t>where access is required to a vertically integrated monopoly service, or case-by-case negotiation is impractical</w:t>
      </w:r>
      <w:r>
        <w:t>.</w:t>
      </w:r>
      <w:r w:rsidR="00C94C7A">
        <w:t xml:space="preserve"> </w:t>
      </w:r>
    </w:p>
    <w:p w:rsidR="00D00BB7" w:rsidRDefault="00C763F0" w:rsidP="00CF50F6">
      <w:r>
        <w:t>T</w:t>
      </w:r>
      <w:r w:rsidR="00675ACD">
        <w:t>he ACCC understands that the Victorian Government has proposed a</w:t>
      </w:r>
      <w:r w:rsidR="00E93F07">
        <w:t xml:space="preserve"> </w:t>
      </w:r>
      <w:r w:rsidR="00747C0B">
        <w:t xml:space="preserve">strengthening </w:t>
      </w:r>
      <w:r w:rsidR="00E93F07">
        <w:t>of the</w:t>
      </w:r>
      <w:r w:rsidR="00675ACD">
        <w:t xml:space="preserve"> </w:t>
      </w:r>
      <w:r w:rsidR="00E93F07">
        <w:t xml:space="preserve">current </w:t>
      </w:r>
      <w:r w:rsidR="00675ACD">
        <w:t>price monitoring regime for the privatised Port of Melbourne.</w:t>
      </w:r>
      <w:r>
        <w:t xml:space="preserve"> </w:t>
      </w:r>
      <w:r w:rsidR="00444CF0">
        <w:t xml:space="preserve">As discussed below, the ACCC has some concerns about the sufficiency of a </w:t>
      </w:r>
      <w:r w:rsidR="002B2993">
        <w:t xml:space="preserve">monitoring </w:t>
      </w:r>
      <w:r w:rsidR="00444CF0">
        <w:t xml:space="preserve">regime to effectively constrain substantial market power. </w:t>
      </w:r>
      <w:r w:rsidR="0043431C">
        <w:t>T</w:t>
      </w:r>
      <w:r w:rsidR="00E30C47">
        <w:t xml:space="preserve">he ACCC </w:t>
      </w:r>
      <w:r w:rsidR="000D788E">
        <w:t xml:space="preserve">also </w:t>
      </w:r>
      <w:r w:rsidR="00E30C47">
        <w:t xml:space="preserve">has some concerns about </w:t>
      </w:r>
      <w:r w:rsidR="005E52F1">
        <w:t>the scope of services proposed to be covered</w:t>
      </w:r>
      <w:r w:rsidR="0023188F">
        <w:t xml:space="preserve"> by the regime</w:t>
      </w:r>
      <w:r w:rsidR="005E52F1">
        <w:t xml:space="preserve">. </w:t>
      </w:r>
      <w:r w:rsidR="00DB1482">
        <w:t>These concerns have been highlighted by the</w:t>
      </w:r>
      <w:r w:rsidR="00202923">
        <w:t xml:space="preserve"> recently-resolved land rent charge dispute between </w:t>
      </w:r>
      <w:proofErr w:type="spellStart"/>
      <w:r w:rsidR="00202923">
        <w:t>PoMC</w:t>
      </w:r>
      <w:proofErr w:type="spellEnd"/>
      <w:r w:rsidR="00DB1482">
        <w:t xml:space="preserve"> </w:t>
      </w:r>
      <w:r w:rsidR="00202923">
        <w:t>and</w:t>
      </w:r>
      <w:r w:rsidR="00DB1482">
        <w:t xml:space="preserve"> DP World, which is also discussed.</w:t>
      </w:r>
    </w:p>
    <w:p w:rsidR="00675ACD" w:rsidRDefault="007632EE" w:rsidP="00675ACD">
      <w:pPr>
        <w:pStyle w:val="Numbered11"/>
      </w:pPr>
      <w:bookmarkStart w:id="13" w:name="_Toc429052699"/>
      <w:r>
        <w:t xml:space="preserve">Proposed regulation </w:t>
      </w:r>
      <w:r w:rsidR="00675ACD">
        <w:t>for the privatised Port of Melbourne</w:t>
      </w:r>
      <w:bookmarkEnd w:id="13"/>
    </w:p>
    <w:p w:rsidR="00675ACD" w:rsidRDefault="00675ACD" w:rsidP="00675ACD">
      <w:r>
        <w:t>The Essential Services Commission of Victoria (</w:t>
      </w:r>
      <w:r w:rsidRPr="00274972">
        <w:rPr>
          <w:b/>
        </w:rPr>
        <w:t>ESC</w:t>
      </w:r>
      <w:r>
        <w:t>) has found that the Port of Melbourne has substantial market power in relation to the shipping channels it manages, the provision of prescribed port services to containerised trade and the provision of prescribed port services to the motor vehicle trade.</w:t>
      </w:r>
      <w:r>
        <w:rPr>
          <w:rStyle w:val="FootnoteReference"/>
        </w:rPr>
        <w:footnoteReference w:id="8"/>
      </w:r>
      <w:r>
        <w:t xml:space="preserve"> Under the </w:t>
      </w:r>
      <w:r w:rsidRPr="00913A96">
        <w:rPr>
          <w:i/>
        </w:rPr>
        <w:t>Port Management Act 1995</w:t>
      </w:r>
      <w:r>
        <w:t xml:space="preserve">, the ESC currently oversees a price monitoring framework that applies to these services at the Port of Melbourne. The ESC states that the current price monitoring </w:t>
      </w:r>
      <w:r w:rsidR="005E52F1">
        <w:t xml:space="preserve">framework </w:t>
      </w:r>
      <w:r>
        <w:t xml:space="preserve">is a light-handed form of regulation whereby the ESC monitors prices for the prescribed services, but the ESC has no power to set prices or direct the </w:t>
      </w:r>
      <w:proofErr w:type="spellStart"/>
      <w:r>
        <w:t>PoM</w:t>
      </w:r>
      <w:r w:rsidR="00492D45">
        <w:t>C</w:t>
      </w:r>
      <w:proofErr w:type="spellEnd"/>
      <w:r>
        <w:t xml:space="preserve"> to charge prices.</w:t>
      </w:r>
      <w:r>
        <w:rPr>
          <w:rStyle w:val="FootnoteReference"/>
        </w:rPr>
        <w:footnoteReference w:id="9"/>
      </w:r>
      <w:r>
        <w:t xml:space="preserve"> </w:t>
      </w:r>
    </w:p>
    <w:p w:rsidR="00EF2BD6" w:rsidRDefault="00675ACD" w:rsidP="00675ACD">
      <w:r>
        <w:t>The ACCC understands that the Victorian Government has proposed that the ESC will have a</w:t>
      </w:r>
      <w:r w:rsidR="007632EE">
        <w:t xml:space="preserve"> </w:t>
      </w:r>
      <w:r w:rsidR="00747C0B">
        <w:t xml:space="preserve">strengthened </w:t>
      </w:r>
      <w:r>
        <w:t xml:space="preserve">price monitoring role once the Port of Melbourne is privatised. The </w:t>
      </w:r>
      <w:r w:rsidR="00747C0B">
        <w:t xml:space="preserve">leaseholder will be required to set prices </w:t>
      </w:r>
      <w:r>
        <w:t xml:space="preserve">for port users </w:t>
      </w:r>
      <w:r w:rsidR="00747C0B">
        <w:t xml:space="preserve">in accordance with </w:t>
      </w:r>
      <w:r w:rsidR="001B13D0">
        <w:t xml:space="preserve">economic </w:t>
      </w:r>
      <w:r>
        <w:t>pricing principles and a deemed asset base</w:t>
      </w:r>
      <w:r w:rsidR="00747C0B">
        <w:t xml:space="preserve">. In addition, </w:t>
      </w:r>
      <w:r>
        <w:t xml:space="preserve">annual </w:t>
      </w:r>
      <w:r w:rsidR="001B13D0">
        <w:t xml:space="preserve">price </w:t>
      </w:r>
      <w:r>
        <w:t xml:space="preserve">increases will be capped at </w:t>
      </w:r>
      <w:r w:rsidRPr="00C13EED">
        <w:t>CPI</w:t>
      </w:r>
      <w:r>
        <w:t xml:space="preserve"> for at least 15</w:t>
      </w:r>
      <w:r w:rsidR="00647F0A">
        <w:t> </w:t>
      </w:r>
      <w:r>
        <w:t>years</w:t>
      </w:r>
      <w:r w:rsidR="004113C7">
        <w:t xml:space="preserve"> with compliance monitoring by the ESC</w:t>
      </w:r>
      <w:r>
        <w:t>.</w:t>
      </w:r>
      <w:r w:rsidR="004113C7">
        <w:rPr>
          <w:rStyle w:val="FootnoteReference"/>
        </w:rPr>
        <w:footnoteReference w:id="10"/>
      </w:r>
      <w:r>
        <w:t xml:space="preserve"> The services that will be covered include wharfage and channel fees, while property rents will continue to be set by separate contracts negotiated directly between the </w:t>
      </w:r>
      <w:r w:rsidR="00222A98">
        <w:t>leaseholder</w:t>
      </w:r>
      <w:r>
        <w:t xml:space="preserve"> and </w:t>
      </w:r>
      <w:r w:rsidR="00E30C47">
        <w:t xml:space="preserve">its </w:t>
      </w:r>
      <w:r>
        <w:t>users.</w:t>
      </w:r>
      <w:r w:rsidR="00243F4C">
        <w:rPr>
          <w:rStyle w:val="FootnoteReference"/>
        </w:rPr>
        <w:footnoteReference w:id="11"/>
      </w:r>
      <w:r>
        <w:t xml:space="preserve"> Further, the ESC will be required to conduct reviews of the Port of Melbourne</w:t>
      </w:r>
      <w:r w:rsidR="002F4B1F">
        <w:t xml:space="preserve"> </w:t>
      </w:r>
      <w:r w:rsidR="00222A98">
        <w:t>leaseholder</w:t>
      </w:r>
      <w:r>
        <w:t xml:space="preserve">’s compliance with the pricing principles every five years with a trigger for </w:t>
      </w:r>
      <w:r w:rsidR="001B13D0">
        <w:t xml:space="preserve">potentially </w:t>
      </w:r>
      <w:r>
        <w:t xml:space="preserve">more direct forms of price controls if </w:t>
      </w:r>
      <w:r w:rsidR="001B13D0">
        <w:t xml:space="preserve">non-compliance of a </w:t>
      </w:r>
      <w:r>
        <w:t>‘significant and sustained</w:t>
      </w:r>
      <w:r w:rsidR="001B13D0">
        <w:t xml:space="preserve"> manner</w:t>
      </w:r>
      <w:r>
        <w:t>’ detected in those reviews.</w:t>
      </w:r>
      <w:r w:rsidR="001B13D0">
        <w:rPr>
          <w:rStyle w:val="FootnoteReference"/>
        </w:rPr>
        <w:footnoteReference w:id="12"/>
      </w:r>
      <w:r>
        <w:t xml:space="preserve"> </w:t>
      </w:r>
      <w:r w:rsidR="00F73D72">
        <w:t>The ACCC understands that the Governor in Council, on the recommendation of the ESC Minister, may impose more direct forms of regulation.</w:t>
      </w:r>
      <w:r w:rsidR="00F73D72">
        <w:rPr>
          <w:rStyle w:val="FootnoteReference"/>
        </w:rPr>
        <w:footnoteReference w:id="13"/>
      </w:r>
      <w:r w:rsidR="00F73D72">
        <w:t xml:space="preserve"> </w:t>
      </w:r>
    </w:p>
    <w:p w:rsidR="00444CF0" w:rsidRDefault="00444CF0" w:rsidP="00444CF0">
      <w:pPr>
        <w:pStyle w:val="Heading3"/>
      </w:pPr>
      <w:bookmarkStart w:id="14" w:name="_Toc429052700"/>
      <w:r>
        <w:t>Form of regulation</w:t>
      </w:r>
      <w:bookmarkEnd w:id="14"/>
    </w:p>
    <w:p w:rsidR="00444CF0" w:rsidRDefault="00EF2BD6" w:rsidP="00444CF0">
      <w:r>
        <w:t>The ACCC is of the view that</w:t>
      </w:r>
      <w:r w:rsidR="00F02C13">
        <w:t>, while</w:t>
      </w:r>
      <w:r>
        <w:t xml:space="preserve"> price monitoring </w:t>
      </w:r>
      <w:r w:rsidR="00BA0B8F">
        <w:t xml:space="preserve">with a </w:t>
      </w:r>
      <w:r>
        <w:t xml:space="preserve">CPI cap </w:t>
      </w:r>
      <w:r w:rsidR="00BA0B8F">
        <w:t xml:space="preserve">on annual price increases </w:t>
      </w:r>
      <w:r>
        <w:t xml:space="preserve">is not a perfect substitute for a cost-based approach to regulation, it </w:t>
      </w:r>
      <w:r w:rsidR="00F02C13">
        <w:t xml:space="preserve">will go </w:t>
      </w:r>
      <w:r>
        <w:t>some way to addressing concerns about monopoly pricing for the first 15 years</w:t>
      </w:r>
      <w:r w:rsidR="001B13D0">
        <w:t xml:space="preserve"> </w:t>
      </w:r>
      <w:r w:rsidR="00F02C13">
        <w:t xml:space="preserve">and for those services covered by the </w:t>
      </w:r>
      <w:r w:rsidR="009D416A">
        <w:t xml:space="preserve">price monitoring </w:t>
      </w:r>
      <w:r w:rsidR="00F02C13">
        <w:t>regime.</w:t>
      </w:r>
      <w:r w:rsidR="00444CF0">
        <w:t xml:space="preserve"> </w:t>
      </w:r>
      <w:r w:rsidR="001B13D0">
        <w:t xml:space="preserve">However, the ACCC is concerned that, if price monitoring alone applies after that time, then this </w:t>
      </w:r>
      <w:r w:rsidR="002B2993">
        <w:t>is unlikely to</w:t>
      </w:r>
      <w:r w:rsidR="001B13D0">
        <w:t xml:space="preserve"> provide a sufficient constraint on substantial market power at the Port of Melbourne.</w:t>
      </w:r>
    </w:p>
    <w:p w:rsidR="00444CF0" w:rsidRDefault="00444CF0" w:rsidP="00444CF0">
      <w:r>
        <w:t>The ACCC note</w:t>
      </w:r>
      <w:r w:rsidR="002B2993">
        <w:t>s</w:t>
      </w:r>
      <w:r>
        <w:t xml:space="preserve"> that the price monitoring </w:t>
      </w:r>
      <w:r w:rsidR="00216DF4">
        <w:t xml:space="preserve">is </w:t>
      </w:r>
      <w:r w:rsidR="002B2993">
        <w:t xml:space="preserve">proposed </w:t>
      </w:r>
      <w:r w:rsidR="00216DF4">
        <w:t xml:space="preserve">to </w:t>
      </w:r>
      <w:r>
        <w:t>include pre-determined pricing principles, periodic reviews of compliance</w:t>
      </w:r>
      <w:r w:rsidR="002B2993">
        <w:t xml:space="preserve"> by the ESC</w:t>
      </w:r>
      <w:r>
        <w:t xml:space="preserve"> and triggers for more direct forms of price controls. In this way, the pr</w:t>
      </w:r>
      <w:r w:rsidR="001B13D0">
        <w:t xml:space="preserve">ice monitoring </w:t>
      </w:r>
      <w:r>
        <w:t>m</w:t>
      </w:r>
      <w:r w:rsidR="002B2993">
        <w:t xml:space="preserve">ay </w:t>
      </w:r>
      <w:r>
        <w:t>provide some level of deterrence from exercising the full degree of substantial market power at the Port of Melbourne</w:t>
      </w:r>
      <w:r w:rsidR="007D2AF6">
        <w:t xml:space="preserve"> after the </w:t>
      </w:r>
      <w:r w:rsidR="004113C7">
        <w:t>CPI cap ceases to apply</w:t>
      </w:r>
      <w:r w:rsidR="007D2AF6">
        <w:t>.</w:t>
      </w:r>
      <w:r>
        <w:t xml:space="preserve"> However, the ACCC is concerned that</w:t>
      </w:r>
      <w:r w:rsidR="005C325B">
        <w:t xml:space="preserve"> </w:t>
      </w:r>
      <w:r>
        <w:t>five-yearly review</w:t>
      </w:r>
      <w:r w:rsidR="00F73D72">
        <w:t>s</w:t>
      </w:r>
      <w:r>
        <w:t xml:space="preserve"> by the ESC</w:t>
      </w:r>
      <w:r w:rsidR="00F73D72">
        <w:t xml:space="preserve"> </w:t>
      </w:r>
      <w:r w:rsidR="002B2993">
        <w:t xml:space="preserve">are </w:t>
      </w:r>
      <w:r>
        <w:t xml:space="preserve">too infrequent to detect inappropriate conduct in a timely manner. Moreover, </w:t>
      </w:r>
      <w:r w:rsidR="00F73D72">
        <w:t xml:space="preserve">as </w:t>
      </w:r>
      <w:r>
        <w:t>th</w:t>
      </w:r>
      <w:r w:rsidR="001B13D0">
        <w:t xml:space="preserve">e Bill does not </w:t>
      </w:r>
      <w:r>
        <w:t>defin</w:t>
      </w:r>
      <w:r w:rsidR="001B13D0">
        <w:t xml:space="preserve">e </w:t>
      </w:r>
      <w:r w:rsidR="005C325B">
        <w:t xml:space="preserve">precisely </w:t>
      </w:r>
      <w:r>
        <w:t xml:space="preserve">what </w:t>
      </w:r>
      <w:r w:rsidR="00C13EED">
        <w:t>will qualify as non-compliance in a ‘significant and sustained manner’</w:t>
      </w:r>
      <w:r w:rsidR="001B13D0">
        <w:t xml:space="preserve">, </w:t>
      </w:r>
      <w:r w:rsidR="00AE1FBD">
        <w:t xml:space="preserve">this </w:t>
      </w:r>
      <w:r>
        <w:t xml:space="preserve">creates </w:t>
      </w:r>
      <w:r w:rsidR="001B13D0">
        <w:t xml:space="preserve">some </w:t>
      </w:r>
      <w:r>
        <w:t xml:space="preserve">uncertainty as to when </w:t>
      </w:r>
      <w:r w:rsidR="001B13D0">
        <w:t xml:space="preserve">non-compliant </w:t>
      </w:r>
      <w:r>
        <w:t xml:space="preserve">conduct would qualify as a trigger. Further, even if triggered, the ACCC is concerned there </w:t>
      </w:r>
      <w:r w:rsidR="001B13D0">
        <w:t xml:space="preserve">may </w:t>
      </w:r>
      <w:r>
        <w:t xml:space="preserve">be significant delays before any decision is made about whether (and what) </w:t>
      </w:r>
      <w:r w:rsidR="001B13D0">
        <w:t xml:space="preserve">more direct </w:t>
      </w:r>
      <w:r>
        <w:t>forms of regulation should apply. By this time, harm resulting from</w:t>
      </w:r>
      <w:r w:rsidR="00CD0A0D">
        <w:t xml:space="preserve"> the</w:t>
      </w:r>
      <w:r>
        <w:t xml:space="preserve"> exercise of substantial market power will already have occurred and may not be possible to be undone.</w:t>
      </w:r>
    </w:p>
    <w:p w:rsidR="00027A21" w:rsidRDefault="00444CF0" w:rsidP="00444CF0">
      <w:r>
        <w:t xml:space="preserve">The ACCC considers that, together, the above factors weaken the likelihood of price monitoring </w:t>
      </w:r>
      <w:r w:rsidR="00AE1FBD">
        <w:t>alone to s</w:t>
      </w:r>
      <w:r>
        <w:t>ufficiently and effectively constraining the exercise of significant market power at the Port of Melbourne</w:t>
      </w:r>
      <w:r w:rsidR="007D2AF6">
        <w:t xml:space="preserve"> after the first 15 years</w:t>
      </w:r>
      <w:r>
        <w:t xml:space="preserve">. The ACCC is of the view that an effective publish-negotiate-arbitrate model can provide greater incentives for a service provider to offer reasonable access terms and conditions in commercially negotiated access arrangements. </w:t>
      </w:r>
    </w:p>
    <w:p w:rsidR="00444CF0" w:rsidRDefault="00444CF0" w:rsidP="00444CF0">
      <w:r>
        <w:t xml:space="preserve">The key features of a publish-negotiate-arbitrate regime are: </w:t>
      </w:r>
    </w:p>
    <w:p w:rsidR="00444CF0" w:rsidRDefault="00444CF0" w:rsidP="00444CF0">
      <w:pPr>
        <w:pStyle w:val="ListBullet"/>
      </w:pPr>
      <w:r>
        <w:t xml:space="preserve">a requirement that the access provider publish its standard terms and conditions (including price) for regulated services; </w:t>
      </w:r>
    </w:p>
    <w:p w:rsidR="00444CF0" w:rsidRDefault="00444CF0" w:rsidP="00444CF0">
      <w:pPr>
        <w:pStyle w:val="ListBullet"/>
      </w:pPr>
      <w:r>
        <w:t xml:space="preserve">a robust negotiation framework to facilitate negotiations between access providers and access seekers over the standard terms and conditions; and </w:t>
      </w:r>
    </w:p>
    <w:p w:rsidR="00444CF0" w:rsidRDefault="00444CF0" w:rsidP="00444CF0">
      <w:pPr>
        <w:pStyle w:val="ListBullet"/>
      </w:pPr>
      <w:proofErr w:type="gramStart"/>
      <w:r>
        <w:t>recourse</w:t>
      </w:r>
      <w:proofErr w:type="gramEnd"/>
      <w:r>
        <w:t xml:space="preserve"> to arbitration by an independent economic regulator in the event that negotiations fail. </w:t>
      </w:r>
    </w:p>
    <w:p w:rsidR="007632EE" w:rsidRDefault="007632EE" w:rsidP="005325B0">
      <w:pPr>
        <w:pStyle w:val="Heading3"/>
        <w:keepNext/>
        <w:pageBreakBefore/>
      </w:pPr>
      <w:bookmarkStart w:id="15" w:name="_Toc429052701"/>
      <w:r>
        <w:t>Scope of services</w:t>
      </w:r>
      <w:bookmarkEnd w:id="15"/>
    </w:p>
    <w:p w:rsidR="007B2613" w:rsidRDefault="004659A4" w:rsidP="00675ACD">
      <w:r>
        <w:t>I</w:t>
      </w:r>
      <w:r w:rsidR="00675ACD">
        <w:t xml:space="preserve">t is important to ensure that the scope of the services captured is sufficiently broad to cover all the elements of the service to which access is required. </w:t>
      </w:r>
      <w:r w:rsidR="007B2613">
        <w:t xml:space="preserve">In the absence of correctly defining the scope, the </w:t>
      </w:r>
      <w:r w:rsidR="007B7A04">
        <w:t>i</w:t>
      </w:r>
      <w:r w:rsidR="007B2613">
        <w:t xml:space="preserve">ncentive </w:t>
      </w:r>
      <w:r w:rsidR="007B7A04">
        <w:t xml:space="preserve">and ability </w:t>
      </w:r>
      <w:r w:rsidR="007B2613">
        <w:t xml:space="preserve">to exercise </w:t>
      </w:r>
      <w:r w:rsidR="00672A15">
        <w:t xml:space="preserve">substantial </w:t>
      </w:r>
      <w:r w:rsidR="007B2613">
        <w:t xml:space="preserve">market power in those services not covered </w:t>
      </w:r>
      <w:r w:rsidR="00183765">
        <w:t>(and</w:t>
      </w:r>
      <w:r w:rsidR="00672A15">
        <w:t xml:space="preserve"> in</w:t>
      </w:r>
      <w:r w:rsidR="00183765">
        <w:t xml:space="preserve"> which </w:t>
      </w:r>
      <w:r w:rsidR="007B7A04">
        <w:t xml:space="preserve">market power exists) </w:t>
      </w:r>
      <w:r w:rsidR="007B2613">
        <w:t xml:space="preserve">will remain, essentially rendering the </w:t>
      </w:r>
      <w:r w:rsidR="009D416A">
        <w:t xml:space="preserve">price monitoring </w:t>
      </w:r>
      <w:r w:rsidR="007B2613">
        <w:t xml:space="preserve">regime ineffective. </w:t>
      </w:r>
    </w:p>
    <w:p w:rsidR="004659A4" w:rsidRDefault="00857029" w:rsidP="00675ACD">
      <w:r>
        <w:t xml:space="preserve">The ACCC is concerned that the scope of services proposed to be covered does not include land </w:t>
      </w:r>
      <w:r w:rsidR="00BF0CBB">
        <w:t xml:space="preserve">rent </w:t>
      </w:r>
      <w:r>
        <w:t>costs</w:t>
      </w:r>
      <w:r w:rsidR="00672A15">
        <w:t xml:space="preserve">, with </w:t>
      </w:r>
      <w:r w:rsidR="007B7A04">
        <w:t xml:space="preserve">property rents continuing to be set by separate contracts negotiated directly between the </w:t>
      </w:r>
      <w:r w:rsidR="00222A98">
        <w:t>leaseholder</w:t>
      </w:r>
      <w:r w:rsidR="002F4B1F">
        <w:t xml:space="preserve"> of the </w:t>
      </w:r>
      <w:r w:rsidR="007B7A04">
        <w:t>Port of Melbourne and users</w:t>
      </w:r>
      <w:r>
        <w:t>.</w:t>
      </w:r>
      <w:r w:rsidR="00F929A7">
        <w:rPr>
          <w:rStyle w:val="FootnoteReference"/>
        </w:rPr>
        <w:footnoteReference w:id="14"/>
      </w:r>
      <w:r>
        <w:t xml:space="preserve"> </w:t>
      </w:r>
      <w:r w:rsidR="004659A4">
        <w:t>This is in line with the current monitoring framework at the Port of Melbourne.</w:t>
      </w:r>
    </w:p>
    <w:p w:rsidR="00E51A5A" w:rsidRPr="000951D9" w:rsidRDefault="007B7A04" w:rsidP="00675ACD">
      <w:r>
        <w:t>The ACCC’s view is that this is a significant exclusion</w:t>
      </w:r>
      <w:r w:rsidR="00E51A5A">
        <w:t xml:space="preserve"> from the proposed regime</w:t>
      </w:r>
      <w:r w:rsidR="00672A15">
        <w:t xml:space="preserve"> given that a significant am</w:t>
      </w:r>
      <w:r w:rsidR="00DD6F17">
        <w:t xml:space="preserve">ount of market power clearly </w:t>
      </w:r>
      <w:r w:rsidR="00672A15">
        <w:t>exist</w:t>
      </w:r>
      <w:r w:rsidR="00DD6F17">
        <w:t xml:space="preserve">s </w:t>
      </w:r>
      <w:r w:rsidR="00672A15">
        <w:t>for land at the por</w:t>
      </w:r>
      <w:r w:rsidR="00DD6F17">
        <w:t>t</w:t>
      </w:r>
      <w:r>
        <w:t xml:space="preserve">. </w:t>
      </w:r>
      <w:r w:rsidR="004659A4">
        <w:t xml:space="preserve">The ACCC’s concerns about the exclusion of land rent costs from the proposed monitoring regime were highlighted in the recently concluded dispute </w:t>
      </w:r>
      <w:r w:rsidR="00926FC7">
        <w:t xml:space="preserve">at the Port of Melbourne. </w:t>
      </w:r>
      <w:r w:rsidR="00857029">
        <w:t xml:space="preserve">As the ACCC </w:t>
      </w:r>
      <w:r w:rsidR="0059772A">
        <w:t xml:space="preserve">understands, the </w:t>
      </w:r>
      <w:proofErr w:type="spellStart"/>
      <w:r w:rsidR="002F4B1F">
        <w:t>PoMC</w:t>
      </w:r>
      <w:proofErr w:type="spellEnd"/>
      <w:r w:rsidR="0059772A">
        <w:t xml:space="preserve"> sought to revalue land at the </w:t>
      </w:r>
      <w:r w:rsidR="00857029" w:rsidRPr="000951D9">
        <w:t xml:space="preserve">Port of Melbourne to take into account </w:t>
      </w:r>
      <w:r w:rsidR="0059772A">
        <w:t xml:space="preserve">the lease price paid </w:t>
      </w:r>
      <w:r w:rsidR="00857029" w:rsidRPr="000951D9">
        <w:t xml:space="preserve">by the new terminal operator at the port, the Victorian International Container Terminal </w:t>
      </w:r>
      <w:r w:rsidR="0013173F">
        <w:t>Limited</w:t>
      </w:r>
      <w:r w:rsidR="00E51A5A" w:rsidRPr="000951D9">
        <w:t>, and then use this as a basis for calculating increased property rents for DP World</w:t>
      </w:r>
      <w:r w:rsidR="00DD6F17">
        <w:t xml:space="preserve"> </w:t>
      </w:r>
      <w:r w:rsidR="004659A4">
        <w:t>by a reported</w:t>
      </w:r>
      <w:r w:rsidR="00DD6F17">
        <w:t xml:space="preserve"> </w:t>
      </w:r>
      <w:r w:rsidR="002F4B1F">
        <w:t xml:space="preserve">767 </w:t>
      </w:r>
      <w:r w:rsidR="00DD6F17">
        <w:t>per cent</w:t>
      </w:r>
      <w:r w:rsidR="00857029" w:rsidRPr="000951D9">
        <w:t>.</w:t>
      </w:r>
      <w:r w:rsidR="004659A4">
        <w:rPr>
          <w:rStyle w:val="FootnoteReference"/>
        </w:rPr>
        <w:footnoteReference w:id="15"/>
      </w:r>
      <w:r w:rsidR="00857029" w:rsidRPr="000951D9">
        <w:t xml:space="preserve"> </w:t>
      </w:r>
      <w:r w:rsidR="0059772A">
        <w:t>As the ACCC has said publicly on this matter, this approach to valuation is inappropriate as it would</w:t>
      </w:r>
      <w:r w:rsidR="00E51A5A" w:rsidRPr="000951D9">
        <w:t xml:space="preserve"> </w:t>
      </w:r>
      <w:r w:rsidR="00857029" w:rsidRPr="000951D9">
        <w:t xml:space="preserve">lead to a continuing upward spiral in prices. </w:t>
      </w:r>
    </w:p>
    <w:p w:rsidR="007B2613" w:rsidRDefault="00857029" w:rsidP="00675ACD">
      <w:r w:rsidRPr="000951D9">
        <w:t>The ACCC’s long-held view is that there should be appropriate access and/or pricing regulation in place for monopoly or near monopoly assets of such national significance</w:t>
      </w:r>
      <w:r w:rsidR="000951D9" w:rsidRPr="000951D9">
        <w:t xml:space="preserve"> as the Port of Melbourne</w:t>
      </w:r>
      <w:r w:rsidR="0059772A">
        <w:t xml:space="preserve"> that covers all of the elements of the service to which access is required</w:t>
      </w:r>
      <w:r w:rsidRPr="000951D9">
        <w:t xml:space="preserve">. </w:t>
      </w:r>
      <w:r w:rsidR="000951D9" w:rsidRPr="000951D9">
        <w:t xml:space="preserve"> </w:t>
      </w:r>
      <w:r w:rsidR="00E51A5A" w:rsidRPr="000951D9">
        <w:t xml:space="preserve"> </w:t>
      </w:r>
    </w:p>
    <w:p w:rsidR="00195CFE" w:rsidRDefault="00195CFE" w:rsidP="00195CFE">
      <w:pPr>
        <w:pStyle w:val="Numbered1"/>
      </w:pPr>
      <w:bookmarkStart w:id="16" w:name="_Toc429052702"/>
      <w:r>
        <w:t>Further information</w:t>
      </w:r>
      <w:bookmarkEnd w:id="16"/>
    </w:p>
    <w:p w:rsidR="00C37E59" w:rsidRDefault="00C37E59" w:rsidP="00C37E59">
      <w:r>
        <w:t xml:space="preserve">The ACCC </w:t>
      </w:r>
      <w:r w:rsidR="00444CF0">
        <w:t xml:space="preserve">would </w:t>
      </w:r>
      <w:r>
        <w:t>welcome the opportunity to discuss directly with the relevant persons the specific market structure and regulatory arrangements being proposed</w:t>
      </w:r>
    </w:p>
    <w:p w:rsidR="001809AA" w:rsidRDefault="00C37E59" w:rsidP="009B435F">
      <w:r>
        <w:t xml:space="preserve">For further information, please contact Ms Sarah Sheppard, A/g General Manager, Infrastructure &amp; Transport – Access &amp; Pricing Branch on 03 9290 </w:t>
      </w:r>
      <w:r w:rsidR="00D61BB7">
        <w:t>1992.</w:t>
      </w:r>
    </w:p>
    <w:sectPr w:rsidR="001809AA" w:rsidSect="00C06739">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E4" w:rsidRDefault="003A5FE4" w:rsidP="004B4412">
      <w:pPr>
        <w:spacing w:before="0"/>
      </w:pPr>
      <w:r>
        <w:separator/>
      </w:r>
    </w:p>
  </w:endnote>
  <w:endnote w:type="continuationSeparator" w:id="0">
    <w:p w:rsidR="003A5FE4" w:rsidRDefault="003A5FE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30" w:rsidRDefault="00485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2E" w:rsidRPr="000E3A2E" w:rsidRDefault="000E3A2E"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6063C8">
      <w:rPr>
        <w:noProof/>
        <w:color w:val="51626F" w:themeColor="accent1"/>
        <w:sz w:val="18"/>
      </w:rPr>
      <w:t>ACCC submission to the inquiry into the proposed lease of the Port of Melbourne</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6063C8">
      <w:rPr>
        <w:noProof/>
        <w:color w:val="51626F" w:themeColor="accent1"/>
        <w:sz w:val="18"/>
      </w:rPr>
      <w:t>9</w:t>
    </w:r>
    <w:r w:rsidRPr="000E3A2E">
      <w:rPr>
        <w:color w:val="51626F" w:themeColor="accent1"/>
        <w:sz w:val="18"/>
      </w:rPr>
      <w:fldChar w:fldCharType="end"/>
    </w:r>
  </w:p>
  <w:p w:rsidR="000E3A2E" w:rsidRPr="000E3A2E" w:rsidRDefault="000E3A2E" w:rsidP="000E3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30" w:rsidRDefault="0048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E4" w:rsidRDefault="003A5FE4" w:rsidP="004B4412">
      <w:pPr>
        <w:spacing w:before="0"/>
      </w:pPr>
      <w:r>
        <w:separator/>
      </w:r>
    </w:p>
  </w:footnote>
  <w:footnote w:type="continuationSeparator" w:id="0">
    <w:p w:rsidR="003A5FE4" w:rsidRDefault="003A5FE4" w:rsidP="004B4412">
      <w:pPr>
        <w:spacing w:before="0"/>
      </w:pPr>
      <w:r>
        <w:continuationSeparator/>
      </w:r>
    </w:p>
  </w:footnote>
  <w:footnote w:id="1">
    <w:p w:rsidR="00961380" w:rsidRDefault="00961380">
      <w:pPr>
        <w:pStyle w:val="FootnoteText"/>
      </w:pPr>
      <w:r>
        <w:rPr>
          <w:rStyle w:val="FootnoteReference"/>
        </w:rPr>
        <w:footnoteRef/>
      </w:r>
      <w:r>
        <w:t xml:space="preserve"> </w:t>
      </w:r>
      <w:r>
        <w:tab/>
      </w:r>
      <w:proofErr w:type="gramStart"/>
      <w:r w:rsidRPr="00961380">
        <w:t>Competition Principles Agreement – 11 April 1995 (</w:t>
      </w:r>
      <w:r>
        <w:t>a</w:t>
      </w:r>
      <w:r w:rsidRPr="00961380">
        <w:t>s amended to 13 April 2007), section 3.</w:t>
      </w:r>
      <w:proofErr w:type="gramEnd"/>
    </w:p>
  </w:footnote>
  <w:footnote w:id="2">
    <w:p w:rsidR="00961380" w:rsidRDefault="00961380">
      <w:pPr>
        <w:pStyle w:val="FootnoteText"/>
      </w:pPr>
      <w:r>
        <w:rPr>
          <w:rStyle w:val="FootnoteReference"/>
        </w:rPr>
        <w:footnoteRef/>
      </w:r>
      <w:r>
        <w:t xml:space="preserve"> </w:t>
      </w:r>
      <w:r>
        <w:tab/>
      </w:r>
      <w:r w:rsidRPr="00961380">
        <w:t>This issue was raised by the ACCC in its submission to the Senate Economics References Committee on the Federal Government’s Asset Recycling Initiative, noting that the scheme has the potential to exacerbate this issue by further incentivising states and territories to seek a higher sale price in order to maximise the 15 per cent incentive payment they would receive.</w:t>
      </w:r>
    </w:p>
  </w:footnote>
  <w:footnote w:id="3">
    <w:p w:rsidR="005677C5" w:rsidRDefault="005677C5">
      <w:pPr>
        <w:pStyle w:val="FootnoteText"/>
      </w:pPr>
      <w:r>
        <w:rPr>
          <w:rStyle w:val="FootnoteReference"/>
        </w:rPr>
        <w:footnoteRef/>
      </w:r>
      <w:r>
        <w:t xml:space="preserve"> </w:t>
      </w:r>
      <w:r>
        <w:tab/>
        <w:t>ACCC</w:t>
      </w:r>
      <w:r w:rsidRPr="005677C5">
        <w:rPr>
          <w:i/>
        </w:rPr>
        <w:t>, Reinvigorating Australia’s Competition Policy – Australian Competition &amp; Consumer Commission Submission to the Competition Policy Review</w:t>
      </w:r>
      <w:r w:rsidRPr="005677C5">
        <w:t>,  25 June 2014, p. 36</w:t>
      </w:r>
      <w:r>
        <w:t>.</w:t>
      </w:r>
    </w:p>
  </w:footnote>
  <w:footnote w:id="4">
    <w:p w:rsidR="00D25D9C" w:rsidRDefault="00D25D9C">
      <w:pPr>
        <w:pStyle w:val="FootnoteText"/>
      </w:pPr>
      <w:r>
        <w:rPr>
          <w:rStyle w:val="FootnoteReference"/>
        </w:rPr>
        <w:footnoteRef/>
      </w:r>
      <w:r>
        <w:t xml:space="preserve"> </w:t>
      </w:r>
      <w:r>
        <w:tab/>
        <w:t xml:space="preserve">OECD, </w:t>
      </w:r>
      <w:r>
        <w:rPr>
          <w:i/>
        </w:rPr>
        <w:t>Recommendations concerning Structural Separation in Regulated Industries</w:t>
      </w:r>
      <w:r>
        <w:t xml:space="preserve">, accessed on 9 September 2015 at </w:t>
      </w:r>
      <w:hyperlink r:id="rId1" w:history="1">
        <w:r w:rsidRPr="001A44C2">
          <w:rPr>
            <w:rStyle w:val="Hyperlink"/>
            <w:sz w:val="16"/>
          </w:rPr>
          <w:t>http://www.oecd.org/daf/competition/recommendationconcerningstructuralseparationinregulatedindustries.htm</w:t>
        </w:r>
      </w:hyperlink>
    </w:p>
  </w:footnote>
  <w:footnote w:id="5">
    <w:p w:rsidR="006C7E65" w:rsidRPr="006C7E65" w:rsidRDefault="006C7E65" w:rsidP="006C7E65">
      <w:pPr>
        <w:pStyle w:val="FootnoteText"/>
      </w:pPr>
      <w:r>
        <w:rPr>
          <w:rStyle w:val="FootnoteReference"/>
        </w:rPr>
        <w:footnoteRef/>
      </w:r>
      <w:r>
        <w:t xml:space="preserve"> </w:t>
      </w:r>
      <w:r>
        <w:tab/>
      </w:r>
      <w:proofErr w:type="gramStart"/>
      <w:r w:rsidR="001922B1">
        <w:t>Ibid.</w:t>
      </w:r>
      <w:proofErr w:type="gramEnd"/>
      <w:r>
        <w:t xml:space="preserve"> </w:t>
      </w:r>
      <w:r w:rsidR="009F7494">
        <w:t xml:space="preserve"> </w:t>
      </w:r>
    </w:p>
  </w:footnote>
  <w:footnote w:id="6">
    <w:p w:rsidR="0028101E" w:rsidRDefault="0028101E" w:rsidP="0028101E">
      <w:pPr>
        <w:pStyle w:val="FootnoteText"/>
      </w:pPr>
      <w:r>
        <w:rPr>
          <w:rStyle w:val="FootnoteReference"/>
        </w:rPr>
        <w:footnoteRef/>
      </w:r>
      <w:r>
        <w:t xml:space="preserve"> </w:t>
      </w:r>
      <w:r>
        <w:tab/>
        <w:t xml:space="preserve">Victorian Department of Treasury and Finance, </w:t>
      </w:r>
      <w:r w:rsidRPr="006E4A9F">
        <w:rPr>
          <w:i/>
        </w:rPr>
        <w:t>Frequently asked questions about leasing the Port of Melbourne</w:t>
      </w:r>
      <w:r>
        <w:t xml:space="preserve">, accessed </w:t>
      </w:r>
      <w:r w:rsidR="009F7494">
        <w:t xml:space="preserve">on 4 September 2015 </w:t>
      </w:r>
      <w:r w:rsidR="00E6622E">
        <w:t xml:space="preserve">at </w:t>
      </w:r>
      <w:hyperlink r:id="rId2" w:anchor="HastheStatepromisednottobuildasecondportduringthelease" w:history="1">
        <w:r w:rsidR="00E6622E" w:rsidRPr="00FE1119">
          <w:rPr>
            <w:rStyle w:val="Hyperlink"/>
            <w:sz w:val="16"/>
          </w:rPr>
          <w:t>http://www.dtf.vic.gov.au/Infrastructure-Delivery/Leasing-the-Port-of-Melbourne/Frequently-asked-questions#HastheStatepromisednottobuildasecondportduringthelease</w:t>
        </w:r>
      </w:hyperlink>
      <w:r w:rsidR="00647F0A">
        <w:t>.</w:t>
      </w:r>
      <w:r>
        <w:t xml:space="preserve"> </w:t>
      </w:r>
    </w:p>
  </w:footnote>
  <w:footnote w:id="7">
    <w:p w:rsidR="00E6622E" w:rsidRDefault="00E6622E">
      <w:pPr>
        <w:pStyle w:val="FootnoteText"/>
      </w:pPr>
      <w:r>
        <w:rPr>
          <w:rStyle w:val="FootnoteReference"/>
        </w:rPr>
        <w:footnoteRef/>
      </w:r>
      <w:r>
        <w:t xml:space="preserve"> </w:t>
      </w:r>
      <w:r>
        <w:tab/>
        <w:t xml:space="preserve">According to the Victorian Department of Treasury and Finance’s FAQ’s (see above footnote), </w:t>
      </w:r>
      <w:r w:rsidRPr="00E6622E">
        <w:t>Port of Melbourne container capacity for the purposes of determining any possible compensation will be defined through the bid process, but will be capped at an amount that is less than the full natural container capacity potential of the Port of Melbourne</w:t>
      </w:r>
      <w:r>
        <w:t xml:space="preserve">. </w:t>
      </w:r>
    </w:p>
  </w:footnote>
  <w:footnote w:id="8">
    <w:p w:rsidR="00675ACD" w:rsidRDefault="00675ACD" w:rsidP="00675ACD">
      <w:pPr>
        <w:pStyle w:val="FootnoteText"/>
      </w:pPr>
      <w:r>
        <w:rPr>
          <w:rStyle w:val="FootnoteReference"/>
        </w:rPr>
        <w:footnoteRef/>
      </w:r>
      <w:r>
        <w:t xml:space="preserve"> </w:t>
      </w:r>
      <w:r>
        <w:tab/>
        <w:t xml:space="preserve">Essential Services Commission of Victoria, </w:t>
      </w:r>
      <w:r>
        <w:rPr>
          <w:i/>
        </w:rPr>
        <w:t>Review of Victorian Ports Regulation: Final Report</w:t>
      </w:r>
      <w:r>
        <w:t>, June 2014, pp. xviii-xix.</w:t>
      </w:r>
    </w:p>
  </w:footnote>
  <w:footnote w:id="9">
    <w:p w:rsidR="00675ACD" w:rsidRPr="001A7C6F" w:rsidRDefault="00675ACD" w:rsidP="00675ACD">
      <w:pPr>
        <w:pStyle w:val="FootnoteText"/>
      </w:pPr>
      <w:r>
        <w:rPr>
          <w:rStyle w:val="FootnoteReference"/>
        </w:rPr>
        <w:footnoteRef/>
      </w:r>
      <w:r>
        <w:t xml:space="preserve"> </w:t>
      </w:r>
      <w:r>
        <w:tab/>
      </w:r>
      <w:proofErr w:type="gramStart"/>
      <w:r w:rsidR="001922B1">
        <w:t>Ibid.,</w:t>
      </w:r>
      <w:proofErr w:type="gramEnd"/>
      <w:r w:rsidR="001922B1">
        <w:t xml:space="preserve"> </w:t>
      </w:r>
      <w:r>
        <w:t>p. xv.</w:t>
      </w:r>
    </w:p>
  </w:footnote>
  <w:footnote w:id="10">
    <w:p w:rsidR="004113C7" w:rsidRPr="004113C7" w:rsidRDefault="004113C7">
      <w:pPr>
        <w:pStyle w:val="FootnoteText"/>
      </w:pPr>
      <w:r>
        <w:rPr>
          <w:rStyle w:val="FootnoteReference"/>
        </w:rPr>
        <w:footnoteRef/>
      </w:r>
      <w:r>
        <w:t xml:space="preserve"> </w:t>
      </w:r>
      <w:r>
        <w:tab/>
      </w:r>
      <w:r w:rsidR="00E6622E">
        <w:t xml:space="preserve">Victorian </w:t>
      </w:r>
      <w:r>
        <w:t xml:space="preserve">Department of Treasury and Finance, </w:t>
      </w:r>
      <w:r>
        <w:rPr>
          <w:i/>
        </w:rPr>
        <w:t>More about the Port of Melbourne Lease Transaction</w:t>
      </w:r>
      <w:r>
        <w:t xml:space="preserve">, May 2015, accessed </w:t>
      </w:r>
      <w:r w:rsidR="009F7494">
        <w:t xml:space="preserve">on 4 September 2015 </w:t>
      </w:r>
      <w:r w:rsidR="00567687">
        <w:t xml:space="preserve">at </w:t>
      </w:r>
      <w:hyperlink r:id="rId3" w:history="1">
        <w:r w:rsidR="00567687" w:rsidRPr="00AD2628">
          <w:rPr>
            <w:rStyle w:val="Hyperlink"/>
            <w:sz w:val="16"/>
          </w:rPr>
          <w:t>http://www.dtf.vic.gov.au/Infrastructure-Delivery/Leasing-the-Port-of-Melbourne</w:t>
        </w:r>
      </w:hyperlink>
      <w:r w:rsidR="00567687">
        <w:t xml:space="preserve">. </w:t>
      </w:r>
    </w:p>
  </w:footnote>
  <w:footnote w:id="11">
    <w:p w:rsidR="00243F4C" w:rsidRPr="00243F4C" w:rsidRDefault="00243F4C">
      <w:pPr>
        <w:pStyle w:val="FootnoteText"/>
      </w:pPr>
      <w:r>
        <w:rPr>
          <w:rStyle w:val="FootnoteReference"/>
        </w:rPr>
        <w:footnoteRef/>
      </w:r>
      <w:r>
        <w:t xml:space="preserve"> </w:t>
      </w:r>
      <w:r>
        <w:tab/>
      </w:r>
      <w:r w:rsidR="00E6622E">
        <w:t xml:space="preserve">Victorian </w:t>
      </w:r>
      <w:r>
        <w:t xml:space="preserve">Department of Treasury and Finance, </w:t>
      </w:r>
      <w:r>
        <w:rPr>
          <w:i/>
        </w:rPr>
        <w:t>Frequently asked questions about leasing the Port of Melbourne</w:t>
      </w:r>
      <w:r>
        <w:t xml:space="preserve">, accessed </w:t>
      </w:r>
      <w:r w:rsidR="009F7494">
        <w:t xml:space="preserve">on 4 September 2015 </w:t>
      </w:r>
      <w:r>
        <w:t xml:space="preserve">at </w:t>
      </w:r>
      <w:hyperlink r:id="rId4" w:anchor="WhatarePortofMelbournescharges" w:history="1">
        <w:r w:rsidRPr="00FE1119">
          <w:rPr>
            <w:rStyle w:val="Hyperlink"/>
            <w:sz w:val="16"/>
          </w:rPr>
          <w:t>http://www.dtf.vic.gov.au/Infrastructure-Delivery/Leasing-the-Port-of-Melbourne/Frequently-asked-questions#WhatarePortofMelbournescharges</w:t>
        </w:r>
      </w:hyperlink>
      <w:r>
        <w:t xml:space="preserve">. </w:t>
      </w:r>
    </w:p>
  </w:footnote>
  <w:footnote w:id="12">
    <w:p w:rsidR="001B13D0" w:rsidRDefault="001B13D0">
      <w:pPr>
        <w:pStyle w:val="FootnoteText"/>
      </w:pPr>
      <w:r>
        <w:rPr>
          <w:rStyle w:val="FootnoteReference"/>
        </w:rPr>
        <w:footnoteRef/>
      </w:r>
      <w:r>
        <w:t xml:space="preserve"> </w:t>
      </w:r>
      <w:r>
        <w:tab/>
      </w:r>
      <w:proofErr w:type="gramStart"/>
      <w:r>
        <w:t xml:space="preserve">Section 92 of the </w:t>
      </w:r>
      <w:r w:rsidRPr="00800299">
        <w:rPr>
          <w:i/>
        </w:rPr>
        <w:t>Delivering Victorian Infrastructure (Port of Melbourne Lease Transaction) Bill 2015</w:t>
      </w:r>
      <w:r>
        <w:t xml:space="preserve"> which inserts new Division 2A into Part 3 of the </w:t>
      </w:r>
      <w:r>
        <w:rPr>
          <w:i/>
        </w:rPr>
        <w:t>Port Management Act 1995</w:t>
      </w:r>
      <w:r>
        <w:t>.</w:t>
      </w:r>
      <w:proofErr w:type="gramEnd"/>
    </w:p>
  </w:footnote>
  <w:footnote w:id="13">
    <w:p w:rsidR="00F73D72" w:rsidRDefault="00F73D72">
      <w:pPr>
        <w:pStyle w:val="FootnoteText"/>
      </w:pPr>
      <w:r>
        <w:rPr>
          <w:rStyle w:val="FootnoteReference"/>
        </w:rPr>
        <w:footnoteRef/>
      </w:r>
      <w:r>
        <w:t xml:space="preserve"> </w:t>
      </w:r>
      <w:r>
        <w:tab/>
      </w:r>
      <w:r w:rsidR="001922B1">
        <w:t>Ibid.</w:t>
      </w:r>
    </w:p>
  </w:footnote>
  <w:footnote w:id="14">
    <w:p w:rsidR="00F929A7" w:rsidRPr="00243F4C" w:rsidRDefault="00F929A7" w:rsidP="00F929A7">
      <w:pPr>
        <w:pStyle w:val="FootnoteText"/>
      </w:pPr>
      <w:r>
        <w:rPr>
          <w:rStyle w:val="FootnoteReference"/>
        </w:rPr>
        <w:footnoteRef/>
      </w:r>
      <w:r>
        <w:t xml:space="preserve"> </w:t>
      </w:r>
      <w:r>
        <w:tab/>
      </w:r>
      <w:r w:rsidR="00E6622E">
        <w:t xml:space="preserve">Victorian </w:t>
      </w:r>
      <w:r>
        <w:t xml:space="preserve">Department of Treasury and Finance, </w:t>
      </w:r>
      <w:r>
        <w:rPr>
          <w:i/>
        </w:rPr>
        <w:t>Frequently asked questions about leasing the Port of Melbourne</w:t>
      </w:r>
      <w:r>
        <w:t xml:space="preserve">, accessed </w:t>
      </w:r>
      <w:r w:rsidR="009F7494">
        <w:t xml:space="preserve">on 4 September 2015 </w:t>
      </w:r>
      <w:r>
        <w:t xml:space="preserve">at </w:t>
      </w:r>
      <w:hyperlink r:id="rId5" w:anchor="WhatarePortofMelbournescharges" w:history="1">
        <w:r w:rsidRPr="00FE1119">
          <w:rPr>
            <w:rStyle w:val="Hyperlink"/>
            <w:sz w:val="16"/>
          </w:rPr>
          <w:t>http://www.dtf.vic.gov.au/Infrastructure-Delivery/Leasing-the-Port-of-Melbourne/Frequently-asked-questions#WhatarePortofMelbournescharges</w:t>
        </w:r>
      </w:hyperlink>
      <w:r>
        <w:t xml:space="preserve">. </w:t>
      </w:r>
    </w:p>
  </w:footnote>
  <w:footnote w:id="15">
    <w:p w:rsidR="004659A4" w:rsidRPr="00CD4E86" w:rsidRDefault="004659A4" w:rsidP="004659A4">
      <w:pPr>
        <w:pStyle w:val="FootnoteText"/>
      </w:pPr>
      <w:r>
        <w:rPr>
          <w:rStyle w:val="FootnoteReference"/>
        </w:rPr>
        <w:footnoteRef/>
      </w:r>
      <w:r>
        <w:t xml:space="preserve"> </w:t>
      </w:r>
      <w:r>
        <w:tab/>
        <w:t xml:space="preserve">DP World, </w:t>
      </w:r>
      <w:r>
        <w:rPr>
          <w:i/>
        </w:rPr>
        <w:t xml:space="preserve">Tasmanian </w:t>
      </w:r>
      <w:proofErr w:type="spellStart"/>
      <w:r>
        <w:rPr>
          <w:i/>
        </w:rPr>
        <w:t>govt</w:t>
      </w:r>
      <w:proofErr w:type="spellEnd"/>
      <w:r>
        <w:rPr>
          <w:i/>
        </w:rPr>
        <w:t xml:space="preserve"> (sic), DP World Australia working together for Melbourne rent hike solution,</w:t>
      </w:r>
      <w:r>
        <w:t xml:space="preserve"> 14 May 2015</w:t>
      </w:r>
      <w:r w:rsidR="005677C5">
        <w:t xml:space="preserve">, accessed at </w:t>
      </w:r>
      <w:hyperlink r:id="rId6" w:history="1">
        <w:r w:rsidR="005677C5" w:rsidRPr="00FE1119">
          <w:rPr>
            <w:rStyle w:val="Hyperlink"/>
            <w:sz w:val="16"/>
          </w:rPr>
          <w:t>http://www.dpworldaustralia.com.au/news-and-media/media-releases/tasmanian-govt-dp-world-australia-working-together-for-melbourne-rent-hike-solution/</w:t>
        </w:r>
      </w:hyperlink>
      <w:r w:rsidR="00647F0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30" w:rsidRDefault="00485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30" w:rsidRDefault="00485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30" w:rsidRDefault="00485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5F2A4F"/>
    <w:multiLevelType w:val="hybridMultilevel"/>
    <w:tmpl w:val="A4DC3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8B4008D"/>
    <w:multiLevelType w:val="hybridMultilevel"/>
    <w:tmpl w:val="96A47C76"/>
    <w:lvl w:ilvl="0" w:tplc="66B83D5E">
      <w:start w:val="2"/>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8424763"/>
    <w:multiLevelType w:val="hybridMultilevel"/>
    <w:tmpl w:val="B9F2E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3">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6">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8">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9">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5"/>
  </w:num>
  <w:num w:numId="10">
    <w:abstractNumId w:val="18"/>
  </w:num>
  <w:num w:numId="11">
    <w:abstractNumId w:val="9"/>
  </w:num>
  <w:num w:numId="12">
    <w:abstractNumId w:val="13"/>
  </w:num>
  <w:num w:numId="13">
    <w:abstractNumId w:val="16"/>
  </w:num>
  <w:num w:numId="14">
    <w:abstractNumId w:val="2"/>
  </w:num>
  <w:num w:numId="15">
    <w:abstractNumId w:val="27"/>
  </w:num>
  <w:num w:numId="16">
    <w:abstractNumId w:val="30"/>
  </w:num>
  <w:num w:numId="17">
    <w:abstractNumId w:val="29"/>
  </w:num>
  <w:num w:numId="18">
    <w:abstractNumId w:val="22"/>
  </w:num>
  <w:num w:numId="19">
    <w:abstractNumId w:val="14"/>
  </w:num>
  <w:num w:numId="20">
    <w:abstractNumId w:val="19"/>
  </w:num>
  <w:num w:numId="21">
    <w:abstractNumId w:val="28"/>
  </w:num>
  <w:num w:numId="22">
    <w:abstractNumId w:val="23"/>
  </w:num>
  <w:num w:numId="23">
    <w:abstractNumId w:val="8"/>
  </w:num>
  <w:num w:numId="24">
    <w:abstractNumId w:val="3"/>
  </w:num>
  <w:num w:numId="25">
    <w:abstractNumId w:val="21"/>
  </w:num>
  <w:num w:numId="26">
    <w:abstractNumId w:val="11"/>
  </w:num>
  <w:num w:numId="27">
    <w:abstractNumId w:val="24"/>
  </w:num>
  <w:num w:numId="28">
    <w:abstractNumId w:val="23"/>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2"/>
    <w:lvlOverride w:ilvl="0">
      <w:startOverride w:val="1"/>
    </w:lvlOverride>
  </w:num>
  <w:num w:numId="32">
    <w:abstractNumId w:val="26"/>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15"/>
  </w:num>
  <w:num w:numId="34">
    <w:abstractNumId w:val="2"/>
    <w:lvlOverride w:ilvl="0">
      <w:startOverride w:val="1"/>
    </w:lvlOverride>
  </w:num>
  <w:num w:numId="35">
    <w:abstractNumId w:val="17"/>
  </w:num>
  <w:num w:numId="36">
    <w:abstractNumId w:val="12"/>
  </w:num>
  <w:num w:numId="37">
    <w:abstractNumId w:val="20"/>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2"/>
  </w:docVars>
  <w:rsids>
    <w:rsidRoot w:val="00FF5C54"/>
    <w:rsid w:val="00003618"/>
    <w:rsid w:val="00013A1A"/>
    <w:rsid w:val="0002115F"/>
    <w:rsid w:val="00021202"/>
    <w:rsid w:val="000225C4"/>
    <w:rsid w:val="00027A21"/>
    <w:rsid w:val="00032D7D"/>
    <w:rsid w:val="0003578C"/>
    <w:rsid w:val="00050C4C"/>
    <w:rsid w:val="00051D1C"/>
    <w:rsid w:val="00062A02"/>
    <w:rsid w:val="00063247"/>
    <w:rsid w:val="00070F9F"/>
    <w:rsid w:val="0007137B"/>
    <w:rsid w:val="00085663"/>
    <w:rsid w:val="00085EBF"/>
    <w:rsid w:val="000951D9"/>
    <w:rsid w:val="00096CB1"/>
    <w:rsid w:val="000B4516"/>
    <w:rsid w:val="000D122C"/>
    <w:rsid w:val="000D788E"/>
    <w:rsid w:val="000E1819"/>
    <w:rsid w:val="000E3A2E"/>
    <w:rsid w:val="000E6C72"/>
    <w:rsid w:val="000F2368"/>
    <w:rsid w:val="00100083"/>
    <w:rsid w:val="00106F79"/>
    <w:rsid w:val="0011041D"/>
    <w:rsid w:val="00116EB2"/>
    <w:rsid w:val="00123FB6"/>
    <w:rsid w:val="00124609"/>
    <w:rsid w:val="0013173F"/>
    <w:rsid w:val="00150265"/>
    <w:rsid w:val="001573E4"/>
    <w:rsid w:val="00160756"/>
    <w:rsid w:val="0017232E"/>
    <w:rsid w:val="00174102"/>
    <w:rsid w:val="00174A38"/>
    <w:rsid w:val="00180157"/>
    <w:rsid w:val="001809AA"/>
    <w:rsid w:val="00181223"/>
    <w:rsid w:val="00183765"/>
    <w:rsid w:val="00184465"/>
    <w:rsid w:val="00185BDC"/>
    <w:rsid w:val="00186F77"/>
    <w:rsid w:val="001922B1"/>
    <w:rsid w:val="001926A4"/>
    <w:rsid w:val="001948CA"/>
    <w:rsid w:val="00195CFE"/>
    <w:rsid w:val="001A7BCC"/>
    <w:rsid w:val="001A7C6F"/>
    <w:rsid w:val="001B13D0"/>
    <w:rsid w:val="001B411A"/>
    <w:rsid w:val="001B45A0"/>
    <w:rsid w:val="001C18EE"/>
    <w:rsid w:val="001C27F0"/>
    <w:rsid w:val="001C7CB3"/>
    <w:rsid w:val="001D055E"/>
    <w:rsid w:val="001D1E66"/>
    <w:rsid w:val="001D234E"/>
    <w:rsid w:val="001D4015"/>
    <w:rsid w:val="001F1125"/>
    <w:rsid w:val="001F492E"/>
    <w:rsid w:val="001F6DA3"/>
    <w:rsid w:val="00202923"/>
    <w:rsid w:val="00212737"/>
    <w:rsid w:val="00216DF4"/>
    <w:rsid w:val="00222A98"/>
    <w:rsid w:val="00222E0B"/>
    <w:rsid w:val="00224DB9"/>
    <w:rsid w:val="00226592"/>
    <w:rsid w:val="0023188F"/>
    <w:rsid w:val="00232B56"/>
    <w:rsid w:val="00243F4C"/>
    <w:rsid w:val="00251745"/>
    <w:rsid w:val="002547E1"/>
    <w:rsid w:val="00263AC0"/>
    <w:rsid w:val="00263B93"/>
    <w:rsid w:val="0026772D"/>
    <w:rsid w:val="00274972"/>
    <w:rsid w:val="0028101E"/>
    <w:rsid w:val="00286874"/>
    <w:rsid w:val="00296B65"/>
    <w:rsid w:val="002A1B58"/>
    <w:rsid w:val="002A414F"/>
    <w:rsid w:val="002A7DEF"/>
    <w:rsid w:val="002B2993"/>
    <w:rsid w:val="002B6578"/>
    <w:rsid w:val="002B7B6B"/>
    <w:rsid w:val="002C3859"/>
    <w:rsid w:val="002C6FA2"/>
    <w:rsid w:val="002C7B5E"/>
    <w:rsid w:val="002D2240"/>
    <w:rsid w:val="002E1672"/>
    <w:rsid w:val="002F4B1F"/>
    <w:rsid w:val="002F7986"/>
    <w:rsid w:val="00300293"/>
    <w:rsid w:val="00303C4A"/>
    <w:rsid w:val="00307F6D"/>
    <w:rsid w:val="00312362"/>
    <w:rsid w:val="003177A2"/>
    <w:rsid w:val="00321270"/>
    <w:rsid w:val="003234A1"/>
    <w:rsid w:val="003271B5"/>
    <w:rsid w:val="0032763C"/>
    <w:rsid w:val="00331264"/>
    <w:rsid w:val="00334C8D"/>
    <w:rsid w:val="00336E94"/>
    <w:rsid w:val="00340655"/>
    <w:rsid w:val="003459E6"/>
    <w:rsid w:val="003518B3"/>
    <w:rsid w:val="00360048"/>
    <w:rsid w:val="00360E83"/>
    <w:rsid w:val="00380BA7"/>
    <w:rsid w:val="003820E4"/>
    <w:rsid w:val="003846F1"/>
    <w:rsid w:val="003901E4"/>
    <w:rsid w:val="00391F20"/>
    <w:rsid w:val="003933AD"/>
    <w:rsid w:val="003A5612"/>
    <w:rsid w:val="003A5FE4"/>
    <w:rsid w:val="003A673F"/>
    <w:rsid w:val="003B2924"/>
    <w:rsid w:val="003B5463"/>
    <w:rsid w:val="003B59A2"/>
    <w:rsid w:val="003B5A70"/>
    <w:rsid w:val="003B7B00"/>
    <w:rsid w:val="003D557C"/>
    <w:rsid w:val="003E194B"/>
    <w:rsid w:val="003F2CEF"/>
    <w:rsid w:val="003F3931"/>
    <w:rsid w:val="00402C71"/>
    <w:rsid w:val="00405F70"/>
    <w:rsid w:val="004113C7"/>
    <w:rsid w:val="0043431C"/>
    <w:rsid w:val="004434D5"/>
    <w:rsid w:val="00444CF0"/>
    <w:rsid w:val="004659A4"/>
    <w:rsid w:val="00473DEE"/>
    <w:rsid w:val="00475DDE"/>
    <w:rsid w:val="00480B4B"/>
    <w:rsid w:val="00485430"/>
    <w:rsid w:val="00485DC4"/>
    <w:rsid w:val="004872ED"/>
    <w:rsid w:val="00492D45"/>
    <w:rsid w:val="004A02EC"/>
    <w:rsid w:val="004B3960"/>
    <w:rsid w:val="004B4412"/>
    <w:rsid w:val="004C163D"/>
    <w:rsid w:val="004C348C"/>
    <w:rsid w:val="004D55BA"/>
    <w:rsid w:val="005038DB"/>
    <w:rsid w:val="0050610B"/>
    <w:rsid w:val="0051171A"/>
    <w:rsid w:val="00515DD5"/>
    <w:rsid w:val="00530128"/>
    <w:rsid w:val="0053185A"/>
    <w:rsid w:val="00532467"/>
    <w:rsid w:val="005325B0"/>
    <w:rsid w:val="00547CCF"/>
    <w:rsid w:val="00564A4D"/>
    <w:rsid w:val="00567687"/>
    <w:rsid w:val="005677C5"/>
    <w:rsid w:val="00571B35"/>
    <w:rsid w:val="00571C9F"/>
    <w:rsid w:val="00577A09"/>
    <w:rsid w:val="00584D8F"/>
    <w:rsid w:val="005851DB"/>
    <w:rsid w:val="00596D42"/>
    <w:rsid w:val="0059772A"/>
    <w:rsid w:val="005A2EEC"/>
    <w:rsid w:val="005A3F58"/>
    <w:rsid w:val="005A404D"/>
    <w:rsid w:val="005B1CF5"/>
    <w:rsid w:val="005B1E3C"/>
    <w:rsid w:val="005B570A"/>
    <w:rsid w:val="005C26CC"/>
    <w:rsid w:val="005C325B"/>
    <w:rsid w:val="005C65AC"/>
    <w:rsid w:val="005D257B"/>
    <w:rsid w:val="005D32D2"/>
    <w:rsid w:val="005E52F1"/>
    <w:rsid w:val="005E6C0E"/>
    <w:rsid w:val="006063C8"/>
    <w:rsid w:val="00607284"/>
    <w:rsid w:val="00610B1E"/>
    <w:rsid w:val="0061175D"/>
    <w:rsid w:val="00614422"/>
    <w:rsid w:val="00615C6B"/>
    <w:rsid w:val="00616CA9"/>
    <w:rsid w:val="006221D1"/>
    <w:rsid w:val="006252DB"/>
    <w:rsid w:val="00632D6D"/>
    <w:rsid w:val="006408B9"/>
    <w:rsid w:val="00642C3E"/>
    <w:rsid w:val="00647F0A"/>
    <w:rsid w:val="00663DAD"/>
    <w:rsid w:val="00666148"/>
    <w:rsid w:val="00672A15"/>
    <w:rsid w:val="00675147"/>
    <w:rsid w:val="00675ACD"/>
    <w:rsid w:val="00676679"/>
    <w:rsid w:val="00680131"/>
    <w:rsid w:val="00687F39"/>
    <w:rsid w:val="006B4CF9"/>
    <w:rsid w:val="006B69E2"/>
    <w:rsid w:val="006B7AC8"/>
    <w:rsid w:val="006C7E65"/>
    <w:rsid w:val="006D4AFC"/>
    <w:rsid w:val="006D550F"/>
    <w:rsid w:val="006D60F8"/>
    <w:rsid w:val="006D77F3"/>
    <w:rsid w:val="006E4A9F"/>
    <w:rsid w:val="006F0F18"/>
    <w:rsid w:val="006F3F50"/>
    <w:rsid w:val="00701CAB"/>
    <w:rsid w:val="00707563"/>
    <w:rsid w:val="00711E66"/>
    <w:rsid w:val="0072348C"/>
    <w:rsid w:val="00724A37"/>
    <w:rsid w:val="007303C3"/>
    <w:rsid w:val="00743223"/>
    <w:rsid w:val="00746E01"/>
    <w:rsid w:val="00747C0B"/>
    <w:rsid w:val="00750F66"/>
    <w:rsid w:val="0075537F"/>
    <w:rsid w:val="00761970"/>
    <w:rsid w:val="007632EE"/>
    <w:rsid w:val="00763E5D"/>
    <w:rsid w:val="00765B1B"/>
    <w:rsid w:val="00767740"/>
    <w:rsid w:val="00776908"/>
    <w:rsid w:val="00777EE6"/>
    <w:rsid w:val="00782EEA"/>
    <w:rsid w:val="00782F3B"/>
    <w:rsid w:val="007830DF"/>
    <w:rsid w:val="007848D1"/>
    <w:rsid w:val="00795742"/>
    <w:rsid w:val="00795AD9"/>
    <w:rsid w:val="007A258B"/>
    <w:rsid w:val="007A5990"/>
    <w:rsid w:val="007B2613"/>
    <w:rsid w:val="007B2C72"/>
    <w:rsid w:val="007B7A04"/>
    <w:rsid w:val="007B7A9C"/>
    <w:rsid w:val="007C1C53"/>
    <w:rsid w:val="007C2A7B"/>
    <w:rsid w:val="007D2AF6"/>
    <w:rsid w:val="007D37A1"/>
    <w:rsid w:val="007E2597"/>
    <w:rsid w:val="007E26A9"/>
    <w:rsid w:val="007E4904"/>
    <w:rsid w:val="007E4CB5"/>
    <w:rsid w:val="007F00AF"/>
    <w:rsid w:val="007F066B"/>
    <w:rsid w:val="007F31FC"/>
    <w:rsid w:val="00800299"/>
    <w:rsid w:val="008033C4"/>
    <w:rsid w:val="00806C88"/>
    <w:rsid w:val="0081034E"/>
    <w:rsid w:val="008113C4"/>
    <w:rsid w:val="00823B00"/>
    <w:rsid w:val="00824418"/>
    <w:rsid w:val="008344F6"/>
    <w:rsid w:val="0083510F"/>
    <w:rsid w:val="00835BFA"/>
    <w:rsid w:val="00837242"/>
    <w:rsid w:val="00851209"/>
    <w:rsid w:val="008557E7"/>
    <w:rsid w:val="00857029"/>
    <w:rsid w:val="008770B1"/>
    <w:rsid w:val="0088007E"/>
    <w:rsid w:val="0088024E"/>
    <w:rsid w:val="008837AC"/>
    <w:rsid w:val="008838D9"/>
    <w:rsid w:val="008876B3"/>
    <w:rsid w:val="008908F0"/>
    <w:rsid w:val="008945B4"/>
    <w:rsid w:val="008948D1"/>
    <w:rsid w:val="00897A1D"/>
    <w:rsid w:val="008A587D"/>
    <w:rsid w:val="008C5486"/>
    <w:rsid w:val="008D1AEB"/>
    <w:rsid w:val="008E7031"/>
    <w:rsid w:val="008F40D7"/>
    <w:rsid w:val="00913A96"/>
    <w:rsid w:val="00916EBA"/>
    <w:rsid w:val="00922C95"/>
    <w:rsid w:val="009233EE"/>
    <w:rsid w:val="00926FC7"/>
    <w:rsid w:val="00927438"/>
    <w:rsid w:val="009277CE"/>
    <w:rsid w:val="009430DB"/>
    <w:rsid w:val="009529FB"/>
    <w:rsid w:val="00953DC1"/>
    <w:rsid w:val="00961380"/>
    <w:rsid w:val="009661DE"/>
    <w:rsid w:val="00967286"/>
    <w:rsid w:val="00967A94"/>
    <w:rsid w:val="0097516E"/>
    <w:rsid w:val="00982E59"/>
    <w:rsid w:val="009856B7"/>
    <w:rsid w:val="0098602B"/>
    <w:rsid w:val="00986FD8"/>
    <w:rsid w:val="00987F46"/>
    <w:rsid w:val="00991B3B"/>
    <w:rsid w:val="009962BA"/>
    <w:rsid w:val="009A05BD"/>
    <w:rsid w:val="009B435F"/>
    <w:rsid w:val="009B74B0"/>
    <w:rsid w:val="009D416A"/>
    <w:rsid w:val="009D4414"/>
    <w:rsid w:val="009D6B46"/>
    <w:rsid w:val="009E07F9"/>
    <w:rsid w:val="009F2BE5"/>
    <w:rsid w:val="009F4940"/>
    <w:rsid w:val="009F7494"/>
    <w:rsid w:val="00A1665B"/>
    <w:rsid w:val="00A204F4"/>
    <w:rsid w:val="00A27740"/>
    <w:rsid w:val="00A4122C"/>
    <w:rsid w:val="00A4478A"/>
    <w:rsid w:val="00A44852"/>
    <w:rsid w:val="00A454AD"/>
    <w:rsid w:val="00A50C4D"/>
    <w:rsid w:val="00A57D04"/>
    <w:rsid w:val="00A60A26"/>
    <w:rsid w:val="00A61598"/>
    <w:rsid w:val="00A725A5"/>
    <w:rsid w:val="00A84F46"/>
    <w:rsid w:val="00A85568"/>
    <w:rsid w:val="00A871F4"/>
    <w:rsid w:val="00A962BB"/>
    <w:rsid w:val="00AB17F7"/>
    <w:rsid w:val="00AB1D65"/>
    <w:rsid w:val="00AB4D3A"/>
    <w:rsid w:val="00AB6913"/>
    <w:rsid w:val="00AB7B04"/>
    <w:rsid w:val="00AC1B2C"/>
    <w:rsid w:val="00AC3264"/>
    <w:rsid w:val="00AC6F01"/>
    <w:rsid w:val="00AD090D"/>
    <w:rsid w:val="00AE0C4B"/>
    <w:rsid w:val="00AE0FE2"/>
    <w:rsid w:val="00AE1BF1"/>
    <w:rsid w:val="00AE1FBD"/>
    <w:rsid w:val="00AE3C9F"/>
    <w:rsid w:val="00AF0DD2"/>
    <w:rsid w:val="00AF46D7"/>
    <w:rsid w:val="00B0476B"/>
    <w:rsid w:val="00B10314"/>
    <w:rsid w:val="00B13048"/>
    <w:rsid w:val="00B15998"/>
    <w:rsid w:val="00B1716D"/>
    <w:rsid w:val="00B17A1D"/>
    <w:rsid w:val="00B207A0"/>
    <w:rsid w:val="00B2419D"/>
    <w:rsid w:val="00B3473E"/>
    <w:rsid w:val="00B44E5D"/>
    <w:rsid w:val="00B4542A"/>
    <w:rsid w:val="00B50597"/>
    <w:rsid w:val="00B56E03"/>
    <w:rsid w:val="00B60F5D"/>
    <w:rsid w:val="00B6256E"/>
    <w:rsid w:val="00B65D99"/>
    <w:rsid w:val="00B67E91"/>
    <w:rsid w:val="00B8080B"/>
    <w:rsid w:val="00B848ED"/>
    <w:rsid w:val="00B86F90"/>
    <w:rsid w:val="00B87C39"/>
    <w:rsid w:val="00BA0B8F"/>
    <w:rsid w:val="00BA4665"/>
    <w:rsid w:val="00BA5A76"/>
    <w:rsid w:val="00BB2FB2"/>
    <w:rsid w:val="00BB3304"/>
    <w:rsid w:val="00BB338E"/>
    <w:rsid w:val="00BC3135"/>
    <w:rsid w:val="00BD3446"/>
    <w:rsid w:val="00BD3C0C"/>
    <w:rsid w:val="00BD6F18"/>
    <w:rsid w:val="00BE1F1B"/>
    <w:rsid w:val="00BE47B5"/>
    <w:rsid w:val="00BE4C99"/>
    <w:rsid w:val="00BF0CBB"/>
    <w:rsid w:val="00BF26DD"/>
    <w:rsid w:val="00BF759D"/>
    <w:rsid w:val="00C03729"/>
    <w:rsid w:val="00C04B99"/>
    <w:rsid w:val="00C058AB"/>
    <w:rsid w:val="00C06739"/>
    <w:rsid w:val="00C07657"/>
    <w:rsid w:val="00C13EED"/>
    <w:rsid w:val="00C22395"/>
    <w:rsid w:val="00C270D4"/>
    <w:rsid w:val="00C33A77"/>
    <w:rsid w:val="00C36D3C"/>
    <w:rsid w:val="00C37E59"/>
    <w:rsid w:val="00C4022F"/>
    <w:rsid w:val="00C44791"/>
    <w:rsid w:val="00C51030"/>
    <w:rsid w:val="00C538A9"/>
    <w:rsid w:val="00C53B5A"/>
    <w:rsid w:val="00C54E70"/>
    <w:rsid w:val="00C54F5A"/>
    <w:rsid w:val="00C755AD"/>
    <w:rsid w:val="00C763F0"/>
    <w:rsid w:val="00C76481"/>
    <w:rsid w:val="00C86679"/>
    <w:rsid w:val="00C93F64"/>
    <w:rsid w:val="00C94C7A"/>
    <w:rsid w:val="00CB0FE2"/>
    <w:rsid w:val="00CB1841"/>
    <w:rsid w:val="00CB666B"/>
    <w:rsid w:val="00CD0A0D"/>
    <w:rsid w:val="00CD4E86"/>
    <w:rsid w:val="00CD6D82"/>
    <w:rsid w:val="00CE4285"/>
    <w:rsid w:val="00CF2C47"/>
    <w:rsid w:val="00CF3504"/>
    <w:rsid w:val="00CF50F6"/>
    <w:rsid w:val="00CF799E"/>
    <w:rsid w:val="00D00BB7"/>
    <w:rsid w:val="00D01CF0"/>
    <w:rsid w:val="00D0442A"/>
    <w:rsid w:val="00D17DC5"/>
    <w:rsid w:val="00D203E1"/>
    <w:rsid w:val="00D25D9C"/>
    <w:rsid w:val="00D31145"/>
    <w:rsid w:val="00D35F2E"/>
    <w:rsid w:val="00D370B1"/>
    <w:rsid w:val="00D544B8"/>
    <w:rsid w:val="00D61388"/>
    <w:rsid w:val="00D61A54"/>
    <w:rsid w:val="00D61BB7"/>
    <w:rsid w:val="00D64AF7"/>
    <w:rsid w:val="00D64DEA"/>
    <w:rsid w:val="00D67BBE"/>
    <w:rsid w:val="00D73D5F"/>
    <w:rsid w:val="00D767CB"/>
    <w:rsid w:val="00D80893"/>
    <w:rsid w:val="00D85581"/>
    <w:rsid w:val="00D91161"/>
    <w:rsid w:val="00D92CF1"/>
    <w:rsid w:val="00D92D38"/>
    <w:rsid w:val="00D950F5"/>
    <w:rsid w:val="00DB0F93"/>
    <w:rsid w:val="00DB1482"/>
    <w:rsid w:val="00DC542F"/>
    <w:rsid w:val="00DC7981"/>
    <w:rsid w:val="00DD36D4"/>
    <w:rsid w:val="00DD6F17"/>
    <w:rsid w:val="00DE4EFA"/>
    <w:rsid w:val="00DE4F87"/>
    <w:rsid w:val="00DE5520"/>
    <w:rsid w:val="00DF57BC"/>
    <w:rsid w:val="00E03190"/>
    <w:rsid w:val="00E04818"/>
    <w:rsid w:val="00E06442"/>
    <w:rsid w:val="00E064C7"/>
    <w:rsid w:val="00E15728"/>
    <w:rsid w:val="00E23993"/>
    <w:rsid w:val="00E254E3"/>
    <w:rsid w:val="00E25B8C"/>
    <w:rsid w:val="00E30C47"/>
    <w:rsid w:val="00E45DB4"/>
    <w:rsid w:val="00E4674F"/>
    <w:rsid w:val="00E47C15"/>
    <w:rsid w:val="00E51A5A"/>
    <w:rsid w:val="00E63639"/>
    <w:rsid w:val="00E65C85"/>
    <w:rsid w:val="00E66199"/>
    <w:rsid w:val="00E6622E"/>
    <w:rsid w:val="00E755EC"/>
    <w:rsid w:val="00E75722"/>
    <w:rsid w:val="00E7624D"/>
    <w:rsid w:val="00E776CB"/>
    <w:rsid w:val="00E829DF"/>
    <w:rsid w:val="00E93F07"/>
    <w:rsid w:val="00EA3D42"/>
    <w:rsid w:val="00EA6B1B"/>
    <w:rsid w:val="00EC4C7D"/>
    <w:rsid w:val="00ED2C58"/>
    <w:rsid w:val="00ED532D"/>
    <w:rsid w:val="00ED7F55"/>
    <w:rsid w:val="00EE28F3"/>
    <w:rsid w:val="00EF2BD6"/>
    <w:rsid w:val="00EF5110"/>
    <w:rsid w:val="00F02C13"/>
    <w:rsid w:val="00F05DD3"/>
    <w:rsid w:val="00F15882"/>
    <w:rsid w:val="00F1733C"/>
    <w:rsid w:val="00F20BD3"/>
    <w:rsid w:val="00F251CA"/>
    <w:rsid w:val="00F27CE1"/>
    <w:rsid w:val="00F373A5"/>
    <w:rsid w:val="00F46C6E"/>
    <w:rsid w:val="00F47559"/>
    <w:rsid w:val="00F60BE4"/>
    <w:rsid w:val="00F61B84"/>
    <w:rsid w:val="00F62762"/>
    <w:rsid w:val="00F64C7B"/>
    <w:rsid w:val="00F653BC"/>
    <w:rsid w:val="00F676DD"/>
    <w:rsid w:val="00F734A9"/>
    <w:rsid w:val="00F73D72"/>
    <w:rsid w:val="00F752F0"/>
    <w:rsid w:val="00F75A26"/>
    <w:rsid w:val="00F83FAD"/>
    <w:rsid w:val="00F85C1E"/>
    <w:rsid w:val="00F91DC6"/>
    <w:rsid w:val="00F929A7"/>
    <w:rsid w:val="00F952A0"/>
    <w:rsid w:val="00FA0008"/>
    <w:rsid w:val="00FA3C7F"/>
    <w:rsid w:val="00FA3FE3"/>
    <w:rsid w:val="00FB52D7"/>
    <w:rsid w:val="00FB5F74"/>
    <w:rsid w:val="00FB74E2"/>
    <w:rsid w:val="00FC1318"/>
    <w:rsid w:val="00FC169E"/>
    <w:rsid w:val="00FC49B0"/>
    <w:rsid w:val="00FD5614"/>
    <w:rsid w:val="00FE080A"/>
    <w:rsid w:val="00FE0BE1"/>
    <w:rsid w:val="00FE1DE9"/>
    <w:rsid w:val="00FE39C2"/>
    <w:rsid w:val="00FE64AE"/>
    <w:rsid w:val="00FF1298"/>
    <w:rsid w:val="00FF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274972"/>
    <w:pPr>
      <w:keepNext/>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274972"/>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1CF5"/>
    <w:rPr>
      <w:sz w:val="16"/>
      <w:szCs w:val="16"/>
    </w:rPr>
  </w:style>
  <w:style w:type="paragraph" w:styleId="CommentText">
    <w:name w:val="annotation text"/>
    <w:basedOn w:val="Normal"/>
    <w:link w:val="CommentTextChar"/>
    <w:uiPriority w:val="99"/>
    <w:semiHidden/>
    <w:unhideWhenUsed/>
    <w:rsid w:val="005B1CF5"/>
    <w:rPr>
      <w:sz w:val="20"/>
      <w:szCs w:val="20"/>
    </w:rPr>
  </w:style>
  <w:style w:type="character" w:customStyle="1" w:styleId="CommentTextChar">
    <w:name w:val="Comment Text Char"/>
    <w:basedOn w:val="DefaultParagraphFont"/>
    <w:link w:val="CommentText"/>
    <w:uiPriority w:val="99"/>
    <w:semiHidden/>
    <w:rsid w:val="005B1C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1CF5"/>
    <w:rPr>
      <w:b/>
      <w:bCs/>
    </w:rPr>
  </w:style>
  <w:style w:type="character" w:customStyle="1" w:styleId="CommentSubjectChar">
    <w:name w:val="Comment Subject Char"/>
    <w:basedOn w:val="CommentTextChar"/>
    <w:link w:val="CommentSubject"/>
    <w:uiPriority w:val="99"/>
    <w:semiHidden/>
    <w:rsid w:val="005B1CF5"/>
    <w:rPr>
      <w:rFonts w:ascii="Arial" w:hAnsi="Arial"/>
      <w:b/>
      <w:bCs/>
      <w:sz w:val="20"/>
      <w:szCs w:val="20"/>
    </w:rPr>
  </w:style>
  <w:style w:type="character" w:customStyle="1" w:styleId="normal-h">
    <w:name w:val="normal-h"/>
    <w:basedOn w:val="DefaultParagraphFont"/>
    <w:rsid w:val="002B7B6B"/>
  </w:style>
  <w:style w:type="character" w:styleId="FollowedHyperlink">
    <w:name w:val="FollowedHyperlink"/>
    <w:basedOn w:val="DefaultParagraphFont"/>
    <w:uiPriority w:val="99"/>
    <w:semiHidden/>
    <w:unhideWhenUsed/>
    <w:rsid w:val="00D25D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274972"/>
    <w:pPr>
      <w:keepNext/>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274972"/>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1CF5"/>
    <w:rPr>
      <w:sz w:val="16"/>
      <w:szCs w:val="16"/>
    </w:rPr>
  </w:style>
  <w:style w:type="paragraph" w:styleId="CommentText">
    <w:name w:val="annotation text"/>
    <w:basedOn w:val="Normal"/>
    <w:link w:val="CommentTextChar"/>
    <w:uiPriority w:val="99"/>
    <w:semiHidden/>
    <w:unhideWhenUsed/>
    <w:rsid w:val="005B1CF5"/>
    <w:rPr>
      <w:sz w:val="20"/>
      <w:szCs w:val="20"/>
    </w:rPr>
  </w:style>
  <w:style w:type="character" w:customStyle="1" w:styleId="CommentTextChar">
    <w:name w:val="Comment Text Char"/>
    <w:basedOn w:val="DefaultParagraphFont"/>
    <w:link w:val="CommentText"/>
    <w:uiPriority w:val="99"/>
    <w:semiHidden/>
    <w:rsid w:val="005B1C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1CF5"/>
    <w:rPr>
      <w:b/>
      <w:bCs/>
    </w:rPr>
  </w:style>
  <w:style w:type="character" w:customStyle="1" w:styleId="CommentSubjectChar">
    <w:name w:val="Comment Subject Char"/>
    <w:basedOn w:val="CommentTextChar"/>
    <w:link w:val="CommentSubject"/>
    <w:uiPriority w:val="99"/>
    <w:semiHidden/>
    <w:rsid w:val="005B1CF5"/>
    <w:rPr>
      <w:rFonts w:ascii="Arial" w:hAnsi="Arial"/>
      <w:b/>
      <w:bCs/>
      <w:sz w:val="20"/>
      <w:szCs w:val="20"/>
    </w:rPr>
  </w:style>
  <w:style w:type="character" w:customStyle="1" w:styleId="normal-h">
    <w:name w:val="normal-h"/>
    <w:basedOn w:val="DefaultParagraphFont"/>
    <w:rsid w:val="002B7B6B"/>
  </w:style>
  <w:style w:type="character" w:styleId="FollowedHyperlink">
    <w:name w:val="FollowedHyperlink"/>
    <w:basedOn w:val="DefaultParagraphFont"/>
    <w:uiPriority w:val="99"/>
    <w:semiHidden/>
    <w:unhideWhenUsed/>
    <w:rsid w:val="00D25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2168">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tf.vic.gov.au/Infrastructure-Delivery/Leasing-the-Port-of-Melbourne" TargetMode="External"/><Relationship Id="rId2" Type="http://schemas.openxmlformats.org/officeDocument/2006/relationships/hyperlink" Target="http://www.dtf.vic.gov.au/Infrastructure-Delivery/Leasing-the-Port-of-Melbourne/Frequently-asked-questions" TargetMode="External"/><Relationship Id="rId1" Type="http://schemas.openxmlformats.org/officeDocument/2006/relationships/hyperlink" Target="http://www.oecd.org/daf/competition/recommendationconcerningstructuralseparationinregulatedindustries.htm" TargetMode="External"/><Relationship Id="rId6" Type="http://schemas.openxmlformats.org/officeDocument/2006/relationships/hyperlink" Target="http://www.dpworldaustralia.com.au/news-and-media/media-releases/tasmanian-govt-dp-world-australia-working-together-for-melbourne-rent-hike-solution/" TargetMode="External"/><Relationship Id="rId5" Type="http://schemas.openxmlformats.org/officeDocument/2006/relationships/hyperlink" Target="http://www.dtf.vic.gov.au/Infrastructure-Delivery/Leasing-the-Port-of-Melbourne/Frequently-asked-questions" TargetMode="External"/><Relationship Id="rId4" Type="http://schemas.openxmlformats.org/officeDocument/2006/relationships/hyperlink" Target="http://www.dtf.vic.gov.au/Infrastructure-Delivery/Leasing-the-Port-of-Melbourne/Frequently-asked-ques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0CA75-DB87-48B4-9DB1-4D61296D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2252</TotalTime>
  <Pages>1</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Coles, Renee</dc:creator>
  <cp:lastModifiedBy>Coles, Renee</cp:lastModifiedBy>
  <cp:revision>206</cp:revision>
  <cp:lastPrinted>2015-08-25T05:16:00Z</cp:lastPrinted>
  <dcterms:created xsi:type="dcterms:W3CDTF">2015-08-19T00:02:00Z</dcterms:created>
  <dcterms:modified xsi:type="dcterms:W3CDTF">2015-09-10T02:58:00Z</dcterms:modified>
</cp:coreProperties>
</file>