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824" w:rsidRDefault="00FE5824" w:rsidP="00053545">
      <w:pPr>
        <w:pStyle w:val="References"/>
      </w:pPr>
    </w:p>
    <w:p w:rsidR="00AD4C53" w:rsidRDefault="00AD4C53" w:rsidP="00053545">
      <w:pPr>
        <w:pStyle w:val="References"/>
      </w:pPr>
    </w:p>
    <w:p w:rsidR="00A258D4" w:rsidRDefault="00A258D4" w:rsidP="00053545">
      <w:pPr>
        <w:pStyle w:val="References"/>
      </w:pPr>
    </w:p>
    <w:p w:rsidR="00053545" w:rsidRDefault="00053545" w:rsidP="00053545">
      <w:pPr>
        <w:pStyle w:val="References"/>
      </w:pPr>
      <w:r>
        <w:t>Our ref:</w:t>
      </w:r>
      <w:r>
        <w:tab/>
      </w:r>
      <w:bookmarkStart w:id="0" w:name="OurRef"/>
      <w:bookmarkEnd w:id="0"/>
      <w:r>
        <w:t>48508</w:t>
      </w:r>
    </w:p>
    <w:p w:rsidR="00053545" w:rsidRDefault="00053545" w:rsidP="00053545">
      <w:pPr>
        <w:pStyle w:val="References"/>
      </w:pPr>
      <w:r>
        <w:t>Your ref:</w:t>
      </w:r>
      <w:r>
        <w:tab/>
      </w:r>
      <w:bookmarkStart w:id="1" w:name="YourRef"/>
      <w:bookmarkEnd w:id="1"/>
    </w:p>
    <w:p w:rsidR="00053545" w:rsidRPr="00C70C16" w:rsidRDefault="00053545" w:rsidP="00053545">
      <w:pPr>
        <w:pStyle w:val="References"/>
      </w:pPr>
      <w:r>
        <w:t>Contact officer:</w:t>
      </w:r>
      <w:r>
        <w:tab/>
      </w:r>
      <w:bookmarkStart w:id="2" w:name="ContactOfficer"/>
      <w:bookmarkEnd w:id="2"/>
      <w:r>
        <w:t>Michael Eady</w:t>
      </w:r>
    </w:p>
    <w:p w:rsidR="00053545" w:rsidRPr="00C70C16" w:rsidRDefault="00053545" w:rsidP="00053545">
      <w:pPr>
        <w:pStyle w:val="References"/>
      </w:pPr>
      <w:r>
        <w:t>Contact p</w:t>
      </w:r>
      <w:r w:rsidRPr="00C70C16">
        <w:t>hone:</w:t>
      </w:r>
      <w:r w:rsidRPr="00C70C16">
        <w:tab/>
      </w:r>
      <w:bookmarkStart w:id="3" w:name="ContactPhone"/>
      <w:bookmarkEnd w:id="3"/>
      <w:r w:rsidR="001F2DF3">
        <w:t xml:space="preserve">(03) 9290 1945 </w:t>
      </w:r>
    </w:p>
    <w:p w:rsidR="00053545" w:rsidRDefault="00053545" w:rsidP="00053545">
      <w:pPr>
        <w:rPr>
          <w:sz w:val="20"/>
        </w:rPr>
      </w:pPr>
    </w:p>
    <w:p w:rsidR="00FE5824" w:rsidRDefault="00FE5824" w:rsidP="00053545">
      <w:bookmarkStart w:id="4" w:name="Date"/>
      <w:bookmarkEnd w:id="4"/>
    </w:p>
    <w:p w:rsidR="00053545" w:rsidRDefault="00C93E2C" w:rsidP="00053545">
      <w:r>
        <w:t>24</w:t>
      </w:r>
      <w:r w:rsidR="00053545">
        <w:t xml:space="preserve"> June 2014</w:t>
      </w:r>
    </w:p>
    <w:p w:rsidR="00053545" w:rsidRDefault="00053545" w:rsidP="00053545"/>
    <w:p w:rsidR="00374E13" w:rsidRDefault="00A258D4" w:rsidP="00053545">
      <w:bookmarkStart w:id="5" w:name="Recipient"/>
      <w:bookmarkEnd w:id="5"/>
      <w:r>
        <w:t>Dr</w:t>
      </w:r>
      <w:r w:rsidR="005E7F7C">
        <w:t xml:space="preserve"> </w:t>
      </w:r>
      <w:r w:rsidR="001D49F8">
        <w:t>Paul Grimes</w:t>
      </w:r>
    </w:p>
    <w:p w:rsidR="00374E13" w:rsidRDefault="00A258D4" w:rsidP="00053545">
      <w:r>
        <w:t>Secretary</w:t>
      </w:r>
    </w:p>
    <w:p w:rsidR="00374E13" w:rsidRDefault="00374E13" w:rsidP="00053545">
      <w:r>
        <w:t xml:space="preserve">Department of Agriculture </w:t>
      </w:r>
    </w:p>
    <w:p w:rsidR="00374E13" w:rsidRDefault="00374E13" w:rsidP="00053545"/>
    <w:p w:rsidR="00374E13" w:rsidRDefault="00A258D4" w:rsidP="00053545">
      <w:r>
        <w:t>By e</w:t>
      </w:r>
      <w:r w:rsidR="00374E13">
        <w:t xml:space="preserve">mail: </w:t>
      </w:r>
      <w:hyperlink r:id="rId9" w:history="1">
        <w:r w:rsidR="00374E13" w:rsidRPr="0034082B">
          <w:rPr>
            <w:rStyle w:val="Hyperlink"/>
          </w:rPr>
          <w:t>FCB.Branch@daff.gov.au</w:t>
        </w:r>
      </w:hyperlink>
      <w:r w:rsidR="00374E13">
        <w:t xml:space="preserve"> </w:t>
      </w:r>
    </w:p>
    <w:p w:rsidR="00053545" w:rsidRDefault="00053545" w:rsidP="00053545"/>
    <w:p w:rsidR="00053545" w:rsidRDefault="00053545" w:rsidP="00053545"/>
    <w:p w:rsidR="00053545" w:rsidRDefault="00053545" w:rsidP="00053545">
      <w:pPr>
        <w:pStyle w:val="Body"/>
      </w:pPr>
      <w:r>
        <w:t xml:space="preserve">Dear </w:t>
      </w:r>
      <w:bookmarkStart w:id="6" w:name="Salutation"/>
      <w:bookmarkEnd w:id="6"/>
      <w:r w:rsidR="001D49F8">
        <w:t>Dr Grimes</w:t>
      </w:r>
      <w:r>
        <w:br/>
      </w:r>
    </w:p>
    <w:p w:rsidR="00053545" w:rsidRPr="00E51EA5" w:rsidRDefault="00EE3A55" w:rsidP="00053545">
      <w:pPr>
        <w:pStyle w:val="Body"/>
        <w:rPr>
          <w:b/>
        </w:rPr>
      </w:pPr>
      <w:bookmarkStart w:id="7" w:name="Subject"/>
      <w:bookmarkEnd w:id="7"/>
      <w:r>
        <w:rPr>
          <w:b/>
        </w:rPr>
        <w:t>M</w:t>
      </w:r>
      <w:r w:rsidR="002E2009">
        <w:rPr>
          <w:b/>
        </w:rPr>
        <w:t>andatory code of conduct for bulk wheat port terminal access</w:t>
      </w:r>
    </w:p>
    <w:p w:rsidR="004D429B" w:rsidRDefault="00053545" w:rsidP="00053545">
      <w:pPr>
        <w:pStyle w:val="Body"/>
      </w:pPr>
      <w:r>
        <w:t xml:space="preserve">The ACCC appreciates the opportunity to </w:t>
      </w:r>
      <w:r w:rsidR="00C722A7">
        <w:t>comment on</w:t>
      </w:r>
      <w:r w:rsidR="000A3713">
        <w:t xml:space="preserve"> t</w:t>
      </w:r>
      <w:r w:rsidR="008721F5">
        <w:t>he</w:t>
      </w:r>
      <w:r w:rsidR="00C722A7">
        <w:t xml:space="preserve"> draft</w:t>
      </w:r>
      <w:r w:rsidR="008721F5">
        <w:t xml:space="preserve"> </w:t>
      </w:r>
      <w:r w:rsidR="008721F5" w:rsidRPr="005C0FFA">
        <w:rPr>
          <w:i/>
        </w:rPr>
        <w:t>Competition and Consumer (Industry Code – Port Terminal Access (Bulk Wheat)) Regulation 2014</w:t>
      </w:r>
      <w:r w:rsidR="008721F5">
        <w:t>, and associated early assessment Regulation Impact Statement</w:t>
      </w:r>
      <w:r w:rsidR="005915E1">
        <w:t xml:space="preserve"> (RIS)</w:t>
      </w:r>
      <w:r w:rsidR="00C722A7">
        <w:t>.</w:t>
      </w:r>
    </w:p>
    <w:p w:rsidR="00C722A7" w:rsidRPr="00C722A7" w:rsidRDefault="00C722A7" w:rsidP="00053545">
      <w:pPr>
        <w:pStyle w:val="Body"/>
      </w:pPr>
      <w:r>
        <w:t xml:space="preserve">The ACCC has also appreciated being able to assist the Department of Agriculture in </w:t>
      </w:r>
      <w:r w:rsidR="00EE3A55">
        <w:t>the</w:t>
      </w:r>
      <w:r w:rsidR="00E23581">
        <w:t xml:space="preserve"> development of the draft c</w:t>
      </w:r>
      <w:r>
        <w:t xml:space="preserve">ode. As the enforcement agency for mandatory codes under the </w:t>
      </w:r>
      <w:r>
        <w:rPr>
          <w:i/>
        </w:rPr>
        <w:t>Competition and Consumer Act</w:t>
      </w:r>
      <w:r>
        <w:t xml:space="preserve"> (CCA), the ACCC is keen to ensure that the </w:t>
      </w:r>
      <w:r w:rsidR="00E23581">
        <w:t>c</w:t>
      </w:r>
      <w:r>
        <w:t>ode will be effective.</w:t>
      </w:r>
      <w:r w:rsidR="00EE3A55">
        <w:t xml:space="preserve"> This will </w:t>
      </w:r>
      <w:r w:rsidR="005915E1">
        <w:t xml:space="preserve">help to support </w:t>
      </w:r>
      <w:r w:rsidR="00EE3A55">
        <w:t xml:space="preserve">competitive markets along the supply chain, </w:t>
      </w:r>
      <w:r w:rsidR="005915E1">
        <w:t>improving the outcomes for growers</w:t>
      </w:r>
      <w:r w:rsidR="00EE3A55">
        <w:t>.</w:t>
      </w:r>
    </w:p>
    <w:p w:rsidR="008721F5" w:rsidRDefault="005C0FFA" w:rsidP="008721F5">
      <w:pPr>
        <w:pStyle w:val="Body"/>
      </w:pPr>
      <w:r>
        <w:t>S</w:t>
      </w:r>
      <w:r w:rsidR="008721F5">
        <w:t xml:space="preserve">ubsection 12(2) of the </w:t>
      </w:r>
      <w:r w:rsidR="003F018D" w:rsidRPr="005C0FFA">
        <w:rPr>
          <w:i/>
        </w:rPr>
        <w:t xml:space="preserve">Wheat Export Marketing </w:t>
      </w:r>
      <w:r w:rsidR="003F018D">
        <w:rPr>
          <w:i/>
        </w:rPr>
        <w:t xml:space="preserve">Amendment </w:t>
      </w:r>
      <w:r w:rsidR="003F018D" w:rsidRPr="005C0FFA">
        <w:rPr>
          <w:i/>
        </w:rPr>
        <w:t>Act 20</w:t>
      </w:r>
      <w:r w:rsidR="003F018D">
        <w:rPr>
          <w:i/>
        </w:rPr>
        <w:t>12</w:t>
      </w:r>
      <w:r w:rsidR="003F018D" w:rsidRPr="005C0FFA">
        <w:t xml:space="preserve"> (WEMA)</w:t>
      </w:r>
      <w:r w:rsidR="003F018D">
        <w:t xml:space="preserve"> provides for the development of a mandatory code of conduct and </w:t>
      </w:r>
      <w:r w:rsidR="008721F5">
        <w:t xml:space="preserve">states that the </w:t>
      </w:r>
      <w:r w:rsidR="003F018D">
        <w:t>code</w:t>
      </w:r>
      <w:r w:rsidR="008721F5">
        <w:t xml:space="preserve"> should, amongst other things: </w:t>
      </w:r>
    </w:p>
    <w:p w:rsidR="008721F5" w:rsidRDefault="008721F5" w:rsidP="008721F5">
      <w:pPr>
        <w:pStyle w:val="Bulletpoint"/>
      </w:pPr>
      <w:r>
        <w:t>deal with the fair and transparent provision to wheat exporters of access to port terminal services by the providers of port terminal services</w:t>
      </w:r>
      <w:r w:rsidR="003F018D">
        <w:t xml:space="preserve"> (subsection 12(2)(a))</w:t>
      </w:r>
      <w:r>
        <w:t xml:space="preserve">, and </w:t>
      </w:r>
    </w:p>
    <w:p w:rsidR="008721F5" w:rsidRDefault="008721F5" w:rsidP="008721F5">
      <w:pPr>
        <w:pStyle w:val="Bulletpoint"/>
      </w:pPr>
      <w:r>
        <w:t>be consistent with the operation of an efficient and profitable wheat export marketing industry that supports the competitiveness of all sectors through the supply chain.</w:t>
      </w:r>
      <w:r w:rsidR="003F018D">
        <w:rPr>
          <w:rStyle w:val="FootnoteReference"/>
        </w:rPr>
        <w:footnoteReference w:id="1"/>
      </w:r>
      <w:r>
        <w:t xml:space="preserve"> </w:t>
      </w:r>
    </w:p>
    <w:p w:rsidR="005C0FFA" w:rsidRDefault="005C0FFA" w:rsidP="008721F5">
      <w:pPr>
        <w:pStyle w:val="Body"/>
      </w:pPr>
      <w:r>
        <w:t xml:space="preserve">The access </w:t>
      </w:r>
      <w:r w:rsidR="003F018D">
        <w:t>arrangements in the WEMA</w:t>
      </w:r>
      <w:r w:rsidR="005915E1">
        <w:t>, which were introduced upon deregulation of the wheat export arrangements,</w:t>
      </w:r>
      <w:r w:rsidR="003F018D">
        <w:t xml:space="preserve"> were originally </w:t>
      </w:r>
      <w:r>
        <w:t>established to address concerns about both the vertical integration of certain port terminal service providers, and the degree of regional monopolisation and lack of competitive constraint of port terminal services.</w:t>
      </w:r>
      <w:r w:rsidR="003F018D">
        <w:rPr>
          <w:rStyle w:val="FootnoteReference"/>
        </w:rPr>
        <w:footnoteReference w:id="2"/>
      </w:r>
    </w:p>
    <w:p w:rsidR="00C722A7" w:rsidRDefault="008721F5" w:rsidP="008721F5">
      <w:pPr>
        <w:pStyle w:val="Body"/>
      </w:pPr>
      <w:r>
        <w:t>The ACCC considers that regulation of bulk wheat port terminals (whether via a code or access undertakings) should be effective and fit-for-purpose</w:t>
      </w:r>
      <w:r w:rsidR="003F018D">
        <w:t xml:space="preserve"> in addressing these concerns</w:t>
      </w:r>
      <w:r>
        <w:t xml:space="preserve">. </w:t>
      </w:r>
      <w:r w:rsidR="00C722A7">
        <w:t xml:space="preserve">In developing its thoughts on the </w:t>
      </w:r>
      <w:r w:rsidR="00097DF2">
        <w:t xml:space="preserve">draft </w:t>
      </w:r>
      <w:r w:rsidR="00E23581">
        <w:t>c</w:t>
      </w:r>
      <w:r w:rsidR="00C722A7">
        <w:t>ode</w:t>
      </w:r>
      <w:r w:rsidR="00097DF2">
        <w:t xml:space="preserve"> and the RIS</w:t>
      </w:r>
      <w:r w:rsidR="00C722A7">
        <w:t>, the ACCC has drawn on its experience over the last five years with the access undertakings that have been provided to it by wheat port terminal operators under Part IIIA of the CCA.</w:t>
      </w:r>
    </w:p>
    <w:p w:rsidR="008721F5" w:rsidRDefault="003F018D" w:rsidP="008721F5">
      <w:pPr>
        <w:pStyle w:val="Body"/>
      </w:pPr>
      <w:r>
        <w:t>In this regard, t</w:t>
      </w:r>
      <w:r w:rsidR="001F2DF3" w:rsidRPr="00D41899">
        <w:t xml:space="preserve">here are four </w:t>
      </w:r>
      <w:r w:rsidR="008721F5">
        <w:t>components</w:t>
      </w:r>
      <w:r w:rsidR="00E608BF">
        <w:t xml:space="preserve"> </w:t>
      </w:r>
      <w:r w:rsidR="00E23581">
        <w:t>of a c</w:t>
      </w:r>
      <w:r w:rsidR="00C722A7">
        <w:t xml:space="preserve">ode </w:t>
      </w:r>
      <w:r w:rsidR="008721F5">
        <w:t xml:space="preserve">which the </w:t>
      </w:r>
      <w:r w:rsidR="001F2DF3" w:rsidRPr="00D41899">
        <w:t xml:space="preserve">ACCC considers </w:t>
      </w:r>
      <w:r w:rsidR="001F2DF3">
        <w:t xml:space="preserve">are </w:t>
      </w:r>
      <w:r w:rsidR="001F2DF3" w:rsidRPr="00D41899">
        <w:t>important</w:t>
      </w:r>
      <w:r w:rsidR="002E2009">
        <w:t xml:space="preserve"> in the bulk wheat port terminal context</w:t>
      </w:r>
      <w:r w:rsidR="00E608BF">
        <w:t xml:space="preserve">: </w:t>
      </w:r>
    </w:p>
    <w:p w:rsidR="00E608BF" w:rsidRDefault="00693450" w:rsidP="003F018D">
      <w:pPr>
        <w:pStyle w:val="Bulletpoint"/>
        <w:numPr>
          <w:ilvl w:val="0"/>
          <w:numId w:val="21"/>
        </w:numPr>
      </w:pPr>
      <w:r>
        <w:t xml:space="preserve">fit-for-purpose regulation, through </w:t>
      </w:r>
      <w:r w:rsidR="008721F5">
        <w:t xml:space="preserve">tiered arrangements </w:t>
      </w:r>
      <w:r w:rsidR="001F2DF3">
        <w:t>that can accommodate different levels of regulation</w:t>
      </w:r>
      <w:r w:rsidR="008721F5">
        <w:t xml:space="preserve"> </w:t>
      </w:r>
      <w:r w:rsidR="00E608BF">
        <w:t xml:space="preserve">depending on the port terminal service provider’s incentive and ability to exert market power  </w:t>
      </w:r>
    </w:p>
    <w:p w:rsidR="001F2DF3" w:rsidRDefault="001F2DF3" w:rsidP="003F018D">
      <w:pPr>
        <w:pStyle w:val="Bulletpoint"/>
        <w:numPr>
          <w:ilvl w:val="0"/>
          <w:numId w:val="21"/>
        </w:numPr>
      </w:pPr>
      <w:r>
        <w:t xml:space="preserve">recourse to arbitration </w:t>
      </w:r>
      <w:r w:rsidR="003F018D">
        <w:t xml:space="preserve">as a backstop </w:t>
      </w:r>
      <w:r>
        <w:t>where</w:t>
      </w:r>
      <w:r w:rsidR="003F018D">
        <w:t xml:space="preserve"> commercial</w:t>
      </w:r>
      <w:r>
        <w:t xml:space="preserve"> negotiations</w:t>
      </w:r>
      <w:r w:rsidR="00E608BF">
        <w:t xml:space="preserve"> for access</w:t>
      </w:r>
      <w:r w:rsidR="008721F5">
        <w:t xml:space="preserve"> </w:t>
      </w:r>
      <w:r w:rsidR="00E608BF">
        <w:t xml:space="preserve">fail </w:t>
      </w:r>
    </w:p>
    <w:p w:rsidR="001F2DF3" w:rsidRDefault="008721F5" w:rsidP="003F018D">
      <w:pPr>
        <w:pStyle w:val="Bulletpoint"/>
        <w:numPr>
          <w:ilvl w:val="0"/>
          <w:numId w:val="21"/>
        </w:numPr>
      </w:pPr>
      <w:r>
        <w:t>a</w:t>
      </w:r>
      <w:r w:rsidR="001F2DF3">
        <w:t xml:space="preserve"> non-discrimination provision</w:t>
      </w:r>
      <w:r>
        <w:t xml:space="preserve"> </w:t>
      </w:r>
      <w:r w:rsidR="00E608BF">
        <w:t>to address the key concern with vertical integration</w:t>
      </w:r>
      <w:r w:rsidR="002E2009">
        <w:t xml:space="preserve"> </w:t>
      </w:r>
    </w:p>
    <w:p w:rsidR="001F2DF3" w:rsidRDefault="001F2DF3" w:rsidP="003F018D">
      <w:pPr>
        <w:pStyle w:val="Bulletpoint"/>
        <w:numPr>
          <w:ilvl w:val="0"/>
          <w:numId w:val="21"/>
        </w:numPr>
      </w:pPr>
      <w:r>
        <w:t>ACCC pre-approval of capacity allocation systems</w:t>
      </w:r>
      <w:r w:rsidR="003F018D">
        <w:t xml:space="preserve">. </w:t>
      </w:r>
    </w:p>
    <w:p w:rsidR="008721F5" w:rsidRDefault="00E608BF" w:rsidP="008721F5">
      <w:pPr>
        <w:pStyle w:val="Body"/>
      </w:pPr>
      <w:r>
        <w:t>For the reasons set out below, t</w:t>
      </w:r>
      <w:r w:rsidR="008721F5">
        <w:t xml:space="preserve">he ACCC is supportive of a tiered mandatory code of conduct </w:t>
      </w:r>
      <w:r w:rsidR="003F018D">
        <w:t>which includes these key components (identified as Option 3 in the RIS)</w:t>
      </w:r>
      <w:r w:rsidR="008721F5">
        <w:t xml:space="preserve">. The ACCC considers that </w:t>
      </w:r>
      <w:r w:rsidR="00811A7E">
        <w:t>the</w:t>
      </w:r>
      <w:r w:rsidR="00E867E9">
        <w:t>se</w:t>
      </w:r>
      <w:r w:rsidR="00811A7E">
        <w:t xml:space="preserve"> key components could</w:t>
      </w:r>
      <w:r>
        <w:t xml:space="preserve"> also be</w:t>
      </w:r>
      <w:r w:rsidR="008721F5">
        <w:t xml:space="preserve"> </w:t>
      </w:r>
      <w:r>
        <w:t>achieved</w:t>
      </w:r>
      <w:r w:rsidR="008721F5">
        <w:t xml:space="preserve"> through the current access undertaking regime (Option 1).</w:t>
      </w:r>
      <w:r w:rsidR="00E867E9">
        <w:t xml:space="preserve"> </w:t>
      </w:r>
      <w:r w:rsidR="002E2009">
        <w:t>However, t</w:t>
      </w:r>
      <w:r w:rsidR="008721F5">
        <w:t>he ACCC is concerned that a one-s</w:t>
      </w:r>
      <w:r w:rsidR="003F018D">
        <w:t xml:space="preserve">ize-fits-all code </w:t>
      </w:r>
      <w:r w:rsidR="008721F5">
        <w:t xml:space="preserve">(Option 2) </w:t>
      </w:r>
      <w:r w:rsidR="005E7F7C">
        <w:t>may not be effective or fit for purpose. The ACCC is also particularly concerned that removal of all industry-specific regulation (Option 4) may allow regional monopolies with market power to foreclose competition in related markets. The ACCC considers that Options 2 and 4 are therefore unlikely to</w:t>
      </w:r>
      <w:r w:rsidR="008721F5">
        <w:t xml:space="preserve"> </w:t>
      </w:r>
      <w:r w:rsidR="002E2009">
        <w:t>ensure</w:t>
      </w:r>
      <w:r w:rsidR="00811A7E">
        <w:t xml:space="preserve"> fai</w:t>
      </w:r>
      <w:r w:rsidR="003F018D">
        <w:t xml:space="preserve">r and transparent access </w:t>
      </w:r>
      <w:r w:rsidR="002E2009">
        <w:t>or</w:t>
      </w:r>
      <w:r w:rsidR="00811A7E">
        <w:t xml:space="preserve"> support the competitiveness of all sectors in the supply chain</w:t>
      </w:r>
      <w:r w:rsidR="008721F5">
        <w:t xml:space="preserve">. </w:t>
      </w:r>
    </w:p>
    <w:p w:rsidR="005E7F7C" w:rsidRDefault="005E7F7C" w:rsidP="008721F5">
      <w:pPr>
        <w:pStyle w:val="Body"/>
      </w:pPr>
      <w:r>
        <w:t>The ACCC notes that concerns have been expressed by industry regarding the scope of the current regime.</w:t>
      </w:r>
      <w:r>
        <w:rPr>
          <w:rStyle w:val="FootnoteReference"/>
        </w:rPr>
        <w:footnoteReference w:id="3"/>
      </w:r>
      <w:r>
        <w:t xml:space="preserve"> In this regard, the ACCC considers that the code should be drafted to ensure that it effectively covers those entities that are intended to be covered</w:t>
      </w:r>
      <w:r w:rsidR="00DA0F8D">
        <w:t>;</w:t>
      </w:r>
      <w:r w:rsidR="001D49F8">
        <w:t xml:space="preserve"> in particular</w:t>
      </w:r>
      <w:r w:rsidR="00DA0F8D">
        <w:t>,</w:t>
      </w:r>
      <w:r w:rsidR="001D49F8">
        <w:t xml:space="preserve"> vertically integrated port terminal operators with market power</w:t>
      </w:r>
      <w:r>
        <w:t xml:space="preserve">. </w:t>
      </w:r>
    </w:p>
    <w:p w:rsidR="001F2DF3" w:rsidRPr="003F018D" w:rsidRDefault="001F2DF3" w:rsidP="003F018D">
      <w:pPr>
        <w:pStyle w:val="Heading5"/>
        <w:numPr>
          <w:ilvl w:val="0"/>
          <w:numId w:val="22"/>
        </w:numPr>
      </w:pPr>
      <w:r w:rsidRPr="003F018D">
        <w:t xml:space="preserve">Tiered arrangements </w:t>
      </w:r>
    </w:p>
    <w:p w:rsidR="001F2DF3" w:rsidRDefault="003929CB" w:rsidP="003929CB">
      <w:pPr>
        <w:pStyle w:val="Body"/>
      </w:pPr>
      <w:r>
        <w:t xml:space="preserve">The ACCC </w:t>
      </w:r>
      <w:r w:rsidR="00E608BF">
        <w:t>considers</w:t>
      </w:r>
      <w:r>
        <w:t xml:space="preserve"> that the </w:t>
      </w:r>
      <w:r w:rsidR="001F2DF3">
        <w:t>level of regulation</w:t>
      </w:r>
      <w:r w:rsidR="00E608BF">
        <w:t xml:space="preserve"> applied to a party</w:t>
      </w:r>
      <w:r w:rsidR="001F2DF3">
        <w:t xml:space="preserve"> should depend on the incentive and ability of </w:t>
      </w:r>
      <w:r w:rsidR="00E608BF">
        <w:t>the</w:t>
      </w:r>
      <w:r w:rsidR="001F2DF3">
        <w:t xml:space="preserve"> party to exert market power to damage or eliminate competition in the upstream grain purchasing market and the downstream grain selling market. This incentive and ability varies between different port terminal operators in the </w:t>
      </w:r>
      <w:r w:rsidR="00E608BF">
        <w:t xml:space="preserve">bulk </w:t>
      </w:r>
      <w:r w:rsidR="001F2DF3">
        <w:t>wheat industry.</w:t>
      </w:r>
      <w:r w:rsidR="001D49F8">
        <w:rPr>
          <w:rStyle w:val="FootnoteReference"/>
        </w:rPr>
        <w:footnoteReference w:id="4"/>
      </w:r>
      <w:r w:rsidR="001F2DF3">
        <w:t xml:space="preserve"> </w:t>
      </w:r>
    </w:p>
    <w:p w:rsidR="001F2DF3" w:rsidRDefault="001F2DF3" w:rsidP="003929CB">
      <w:pPr>
        <w:pStyle w:val="Body"/>
      </w:pPr>
      <w:r>
        <w:t>Vertically integrated port terminal service providers have greater incentive to exert market power in favour of their own operations compared to non-vertically integrated providers. Therefore, it is appropriate that a lower level of regulation be applied to non-vertically integrated providers</w:t>
      </w:r>
      <w:r w:rsidR="00C722A7">
        <w:t xml:space="preserve"> (if properly defined)</w:t>
      </w:r>
      <w:r>
        <w:t xml:space="preserve">. </w:t>
      </w:r>
      <w:r w:rsidR="003929CB">
        <w:t>However, s</w:t>
      </w:r>
      <w:r>
        <w:t xml:space="preserve">ome vertically integrated port terminal service providers may be subject to competition. While these providers would have an incentive to act in favour of their own operations, they </w:t>
      </w:r>
      <w:r w:rsidR="005915E1">
        <w:t xml:space="preserve">would </w:t>
      </w:r>
      <w:r>
        <w:t xml:space="preserve">not have the ability to do so in practice. </w:t>
      </w:r>
      <w:r w:rsidR="003929CB">
        <w:t>The ACCC considers that these</w:t>
      </w:r>
      <w:r>
        <w:t xml:space="preserve"> providers should also be subject to a lower level of regulation.   </w:t>
      </w:r>
    </w:p>
    <w:p w:rsidR="003929CB" w:rsidRDefault="003929CB" w:rsidP="003929CB">
      <w:pPr>
        <w:pStyle w:val="Body"/>
      </w:pPr>
      <w:r>
        <w:t xml:space="preserve">Consequently, the ACCC considers that tiered arrangements are important to ensure effective, fit-for-purpose regulation. </w:t>
      </w:r>
      <w:r w:rsidR="00E608BF">
        <w:t>The ACCC considers that this can be achieved through Option 3 in the RIS.</w:t>
      </w:r>
      <w:r w:rsidR="00E867E9">
        <w:t xml:space="preserve"> The current access undertaking regime, which would be continued under Option 1, also provides flexibility to apply differing levels of regulation where appropriate for a particular context.</w:t>
      </w:r>
      <w:r w:rsidR="00E608BF">
        <w:t xml:space="preserve"> </w:t>
      </w:r>
      <w:r>
        <w:t xml:space="preserve">The ACCC considers that a standardised ‘one-size-fits-all’ framework </w:t>
      </w:r>
      <w:r w:rsidR="00E608BF">
        <w:t xml:space="preserve">in accordance with Option 2 in the RIS </w:t>
      </w:r>
      <w:r>
        <w:t>is not necessary or appropriate for the bulk wheat industry.</w:t>
      </w:r>
      <w:r w:rsidR="00E608BF">
        <w:t xml:space="preserve"> Where a sufficient level of competitive constraint exists, regulation should be limited.</w:t>
      </w:r>
    </w:p>
    <w:p w:rsidR="001F2DF3" w:rsidRDefault="001F2DF3" w:rsidP="003929CB">
      <w:pPr>
        <w:pStyle w:val="Body"/>
      </w:pPr>
      <w:r>
        <w:t>In practice, the ACCC’s assessment is likely to involve consideration of</w:t>
      </w:r>
      <w:r w:rsidR="00C722A7">
        <w:t>, amongst other things,</w:t>
      </w:r>
      <w:r>
        <w:t xml:space="preserve"> whether the port terminal service provider is subject to competitive constraint </w:t>
      </w:r>
      <w:r w:rsidR="003929CB">
        <w:t>or</w:t>
      </w:r>
      <w:r>
        <w:t xml:space="preserve"> whether it has the ability to exert market power. The ACCC’s </w:t>
      </w:r>
      <w:r w:rsidR="003929CB">
        <w:t xml:space="preserve">decision to reduce regulation at </w:t>
      </w:r>
      <w:r>
        <w:t>GrainCorp</w:t>
      </w:r>
      <w:r w:rsidR="003929CB">
        <w:t>’s Carrington</w:t>
      </w:r>
      <w:r>
        <w:t xml:space="preserve"> port at </w:t>
      </w:r>
      <w:r w:rsidR="00C722A7">
        <w:t xml:space="preserve">Newcastle </w:t>
      </w:r>
      <w:r>
        <w:t>is a practical example of how the ACCC may conduc</w:t>
      </w:r>
      <w:r w:rsidR="003929CB">
        <w:t xml:space="preserve">t such an exemption assessment. </w:t>
      </w:r>
    </w:p>
    <w:p w:rsidR="001F2DF3" w:rsidRPr="003F018D" w:rsidRDefault="001F2DF3" w:rsidP="003F018D">
      <w:pPr>
        <w:pStyle w:val="Heading5"/>
        <w:numPr>
          <w:ilvl w:val="0"/>
          <w:numId w:val="22"/>
        </w:numPr>
      </w:pPr>
      <w:r w:rsidRPr="003F018D">
        <w:t xml:space="preserve">Recourse to arbitration </w:t>
      </w:r>
    </w:p>
    <w:p w:rsidR="00811A7E" w:rsidRDefault="00811A7E" w:rsidP="003F018D">
      <w:pPr>
        <w:pStyle w:val="Body"/>
      </w:pPr>
      <w:r>
        <w:t>R</w:t>
      </w:r>
      <w:r w:rsidR="001F2DF3" w:rsidRPr="005C49C5">
        <w:t>ecourse to</w:t>
      </w:r>
      <w:r>
        <w:t xml:space="preserve"> binding</w:t>
      </w:r>
      <w:r w:rsidR="001F2DF3" w:rsidRPr="005C49C5">
        <w:t xml:space="preserve"> arbitration </w:t>
      </w:r>
      <w:r w:rsidR="00C722A7">
        <w:t>has proven to be</w:t>
      </w:r>
      <w:r w:rsidR="00C722A7" w:rsidRPr="005C49C5">
        <w:t xml:space="preserve"> </w:t>
      </w:r>
      <w:r w:rsidR="001F2DF3" w:rsidRPr="005C49C5">
        <w:t xml:space="preserve">a fundamental aspect of </w:t>
      </w:r>
      <w:r w:rsidR="00260428">
        <w:t xml:space="preserve">access undertakings under Part IIIA, including </w:t>
      </w:r>
      <w:r w:rsidR="001F2DF3" w:rsidRPr="005C49C5">
        <w:t xml:space="preserve">the </w:t>
      </w:r>
      <w:r w:rsidR="001F2DF3">
        <w:t>regulati</w:t>
      </w:r>
      <w:r>
        <w:t>on of bulk wheat ports</w:t>
      </w:r>
      <w:r w:rsidR="00260428">
        <w:t>. This is</w:t>
      </w:r>
      <w:r>
        <w:t xml:space="preserve"> because a</w:t>
      </w:r>
      <w:r w:rsidR="001F2DF3" w:rsidRPr="005C49C5">
        <w:t>rbitration provides a backstop in the event that negotiations fail.</w:t>
      </w:r>
      <w:r w:rsidR="002A6833">
        <w:t xml:space="preserve"> </w:t>
      </w:r>
      <w:r w:rsidR="001F2DF3" w:rsidRPr="005C49C5">
        <w:t>In the absence of such a backstop, port terminal operators may be able to offer unreasonable terms of access</w:t>
      </w:r>
      <w:r>
        <w:t>,</w:t>
      </w:r>
      <w:r w:rsidR="001F2DF3" w:rsidRPr="005C49C5">
        <w:t xml:space="preserve"> and refuse to negotiate more reasonable terms, effectively preventing exporters from gaining access to the service.</w:t>
      </w:r>
      <w:r>
        <w:t xml:space="preserve"> The access undertakings currently in place for vertically integrated bulk wheat port terminal operators all include recourse to arbitration, and the ACCC considers that this has provided an incentive for those operators</w:t>
      </w:r>
      <w:r w:rsidR="004C104A">
        <w:t xml:space="preserve"> to negotiate</w:t>
      </w:r>
      <w:r w:rsidR="003F018D">
        <w:t xml:space="preserve"> reasonable terms of access</w:t>
      </w:r>
      <w:r w:rsidR="004C104A">
        <w:t>. For example, in 2010 Glen</w:t>
      </w:r>
      <w:r w:rsidR="003F018D">
        <w:t>core Grain Pty Ltd</w:t>
      </w:r>
      <w:r w:rsidR="004C104A">
        <w:t xml:space="preserve"> stated that the threat of arbitration had facilitated commercial outcomes </w:t>
      </w:r>
      <w:r w:rsidR="003F018D">
        <w:t>to disputes with port providers</w:t>
      </w:r>
      <w:r w:rsidR="004C104A">
        <w:t>.</w:t>
      </w:r>
      <w:r w:rsidR="004C104A">
        <w:rPr>
          <w:rStyle w:val="FootnoteReference"/>
        </w:rPr>
        <w:footnoteReference w:id="5"/>
      </w:r>
    </w:p>
    <w:p w:rsidR="00811A7E" w:rsidRDefault="00811A7E" w:rsidP="00811A7E">
      <w:pPr>
        <w:pStyle w:val="Body"/>
      </w:pPr>
      <w:r>
        <w:t>The ACCC considers that Options 1 and 3 are appropriate in this regard, as both are able to provide for recourse to arbitration in the even</w:t>
      </w:r>
      <w:r w:rsidR="003F018D">
        <w:t>t</w:t>
      </w:r>
      <w:r>
        <w:t xml:space="preserve"> that negotiations fail. The ACCC is concerned that Option 2 in the RIS does not include</w:t>
      </w:r>
      <w:r w:rsidRPr="005C49C5">
        <w:t xml:space="preserve"> recourse to arbitration</w:t>
      </w:r>
      <w:r w:rsidR="003F018D">
        <w:t>,</w:t>
      </w:r>
      <w:r>
        <w:t xml:space="preserve"> and is </w:t>
      </w:r>
      <w:r w:rsidR="003F018D">
        <w:t xml:space="preserve">therefore </w:t>
      </w:r>
      <w:r>
        <w:t>u</w:t>
      </w:r>
      <w:r w:rsidRPr="005C49C5">
        <w:t>nlikely to be effective in ensuring vertically</w:t>
      </w:r>
      <w:r w:rsidR="00E23581">
        <w:t xml:space="preserve"> </w:t>
      </w:r>
      <w:r w:rsidRPr="005C49C5">
        <w:t xml:space="preserve">integrated port terminal operators provide access on </w:t>
      </w:r>
      <w:r w:rsidR="00F459E4">
        <w:t xml:space="preserve">fair and reasonable </w:t>
      </w:r>
      <w:r w:rsidRPr="005C49C5">
        <w:t xml:space="preserve">terms that will </w:t>
      </w:r>
      <w:r w:rsidR="00FE1579">
        <w:t>support the competitiveness of all sections through the supply chain</w:t>
      </w:r>
      <w:r w:rsidRPr="005C49C5">
        <w:t>.</w:t>
      </w:r>
      <w:r>
        <w:t xml:space="preserve"> The ACCC considers that Option 4 similarly will not ensure that a vertically</w:t>
      </w:r>
      <w:r w:rsidR="00D44811">
        <w:t xml:space="preserve"> </w:t>
      </w:r>
      <w:r>
        <w:t xml:space="preserve">integrated port terminal service provider with market power negotiates reasonable terms for competitors to </w:t>
      </w:r>
      <w:r w:rsidR="00260428">
        <w:t xml:space="preserve">access </w:t>
      </w:r>
      <w:r>
        <w:t xml:space="preserve">its </w:t>
      </w:r>
      <w:r w:rsidR="005915E1">
        <w:t>port terminal facilities</w:t>
      </w:r>
      <w:r>
        <w:t xml:space="preserve">. </w:t>
      </w:r>
    </w:p>
    <w:p w:rsidR="001F2DF3" w:rsidRPr="003F018D" w:rsidRDefault="005348A7" w:rsidP="003F018D">
      <w:pPr>
        <w:pStyle w:val="Heading5"/>
        <w:numPr>
          <w:ilvl w:val="0"/>
          <w:numId w:val="22"/>
        </w:numPr>
      </w:pPr>
      <w:r w:rsidRPr="003F018D">
        <w:t>Approval of c</w:t>
      </w:r>
      <w:r w:rsidR="001F2DF3" w:rsidRPr="003F018D">
        <w:t xml:space="preserve">apacity allocation </w:t>
      </w:r>
      <w:r w:rsidRPr="003F018D">
        <w:t>systems</w:t>
      </w:r>
    </w:p>
    <w:p w:rsidR="004C104A" w:rsidRDefault="00F459E4" w:rsidP="00811A7E">
      <w:pPr>
        <w:pStyle w:val="Body"/>
      </w:pPr>
      <w:r>
        <w:t>Under e</w:t>
      </w:r>
      <w:r w:rsidR="004C104A">
        <w:t xml:space="preserve">xisting mandatory codes the ACCC </w:t>
      </w:r>
      <w:r w:rsidR="00C722A7">
        <w:t>can</w:t>
      </w:r>
      <w:r w:rsidR="004C104A">
        <w:t xml:space="preserve"> take enforcement action following a breach rather than ex ante </w:t>
      </w:r>
      <w:r>
        <w:t>action to</w:t>
      </w:r>
      <w:r w:rsidR="004C104A">
        <w:t xml:space="preserve"> prevent damage to competition happening. The ACCC </w:t>
      </w:r>
      <w:r w:rsidR="005348A7">
        <w:t>considers</w:t>
      </w:r>
      <w:r w:rsidR="004C104A">
        <w:t xml:space="preserve"> that this may not adequately deal with certain issues in the wheat export context, particularly in relation to capacity management systems. </w:t>
      </w:r>
    </w:p>
    <w:p w:rsidR="005348A7" w:rsidRDefault="004C104A" w:rsidP="00811A7E">
      <w:pPr>
        <w:pStyle w:val="Body"/>
      </w:pPr>
      <w:r>
        <w:t xml:space="preserve">Capacity allocation has been the primary area of </w:t>
      </w:r>
      <w:r w:rsidR="00C722A7">
        <w:t xml:space="preserve">the ACCC’s </w:t>
      </w:r>
      <w:r>
        <w:t>engagement with industry in recent times</w:t>
      </w:r>
      <w:r w:rsidR="00C722A7">
        <w:t>, when assessing new undertakings or variations to existing arrangements</w:t>
      </w:r>
      <w:r>
        <w:t xml:space="preserve">. </w:t>
      </w:r>
      <w:r w:rsidR="00811A7E">
        <w:t xml:space="preserve">The ACCC considers that </w:t>
      </w:r>
      <w:r>
        <w:t xml:space="preserve">up-front approval of </w:t>
      </w:r>
      <w:r w:rsidR="001F2DF3">
        <w:t xml:space="preserve">capacity allocation </w:t>
      </w:r>
      <w:r>
        <w:t xml:space="preserve">systems is important because </w:t>
      </w:r>
      <w:r w:rsidR="001F2DF3">
        <w:t>ex post enforcement action may not adequately remedy the damage to competition</w:t>
      </w:r>
      <w:r>
        <w:t xml:space="preserve"> in related markets</w:t>
      </w:r>
      <w:r w:rsidR="001F2DF3">
        <w:t xml:space="preserve"> </w:t>
      </w:r>
      <w:r w:rsidR="00097DF2">
        <w:t>(or may not do so in a timely manner)</w:t>
      </w:r>
      <w:r w:rsidR="00260428">
        <w:t>,</w:t>
      </w:r>
      <w:r w:rsidR="00097DF2">
        <w:t xml:space="preserve"> </w:t>
      </w:r>
      <w:r>
        <w:t>once</w:t>
      </w:r>
      <w:r w:rsidR="001F2DF3">
        <w:t xml:space="preserve"> capacity </w:t>
      </w:r>
      <w:r>
        <w:t>has been</w:t>
      </w:r>
      <w:r w:rsidR="001F2DF3">
        <w:t xml:space="preserve"> allocated in an uncompetitive manner</w:t>
      </w:r>
      <w:r w:rsidR="00C722A7">
        <w:t xml:space="preserve"> and then executed</w:t>
      </w:r>
      <w:r w:rsidR="001F2DF3">
        <w:t xml:space="preserve">. An upfront approval role is more likely to </w:t>
      </w:r>
      <w:r w:rsidR="00C722A7">
        <w:t xml:space="preserve">be effective in </w:t>
      </w:r>
      <w:r w:rsidR="001F2DF3">
        <w:t>prevent</w:t>
      </w:r>
      <w:r w:rsidR="00C722A7">
        <w:t>ing</w:t>
      </w:r>
      <w:r w:rsidR="001F2DF3">
        <w:t xml:space="preserve"> port terminal service providers</w:t>
      </w:r>
      <w:r w:rsidR="005348A7">
        <w:t xml:space="preserve"> from</w:t>
      </w:r>
      <w:r w:rsidR="001F2DF3">
        <w:t xml:space="preserve"> introducing capacity allocation systems that are discriminatory or hinder access. </w:t>
      </w:r>
      <w:r w:rsidR="005348A7">
        <w:t>T</w:t>
      </w:r>
      <w:r>
        <w:t xml:space="preserve">his </w:t>
      </w:r>
      <w:r w:rsidR="001F2DF3">
        <w:t xml:space="preserve">approval </w:t>
      </w:r>
      <w:r>
        <w:t>requirement</w:t>
      </w:r>
      <w:r w:rsidR="001F2DF3">
        <w:t xml:space="preserve"> </w:t>
      </w:r>
      <w:r>
        <w:t xml:space="preserve">need only </w:t>
      </w:r>
      <w:r w:rsidR="001F2DF3">
        <w:t xml:space="preserve">apply to vertically integrated port terminal operators </w:t>
      </w:r>
      <w:r>
        <w:t xml:space="preserve">with market power that </w:t>
      </w:r>
      <w:r w:rsidR="001F2DF3">
        <w:t>have an incentive</w:t>
      </w:r>
      <w:r>
        <w:t xml:space="preserve"> and ability to favour their own operations.</w:t>
      </w:r>
    </w:p>
    <w:p w:rsidR="005348A7" w:rsidRDefault="004C104A" w:rsidP="005348A7">
      <w:pPr>
        <w:pStyle w:val="Body"/>
      </w:pPr>
      <w:r>
        <w:t xml:space="preserve">The ACCC considers that both Options 1 and 3 </w:t>
      </w:r>
      <w:r w:rsidR="005348A7">
        <w:t xml:space="preserve">are able to </w:t>
      </w:r>
      <w:r>
        <w:t>achieve this objective</w:t>
      </w:r>
      <w:r w:rsidR="005348A7">
        <w:t xml:space="preserve">. Under the current access undertakings, the ACCC approves the capacity allocation system up front and is able to object if the port terminal service provider makes changes that are </w:t>
      </w:r>
      <w:r w:rsidR="00C722A7">
        <w:t>discriminatory or hinder access</w:t>
      </w:r>
      <w:r w:rsidR="005348A7">
        <w:t>. A mandatory code in accordance with Option 3 provides that</w:t>
      </w:r>
      <w:r w:rsidR="00260428">
        <w:t>,</w:t>
      </w:r>
      <w:r w:rsidR="005348A7">
        <w:t xml:space="preserve"> for vertically integrated port terminal service providers, capacity allocation systems must be approved by the ACCC. </w:t>
      </w:r>
      <w:r>
        <w:t xml:space="preserve">Where </w:t>
      </w:r>
      <w:r w:rsidR="005348A7">
        <w:t>a provider is subject to s</w:t>
      </w:r>
      <w:r>
        <w:t>ufficient competitive constraint, the ACCC may grant an exemption</w:t>
      </w:r>
      <w:r w:rsidR="005348A7">
        <w:t xml:space="preserve"> and the provider would no longer need to have its capacity allocation system approved</w:t>
      </w:r>
      <w:r>
        <w:t>.</w:t>
      </w:r>
      <w:r w:rsidR="005348A7">
        <w:t xml:space="preserve"> However, the ACCC is concerned that under Options 2 and 4 the ACCC will need to rely on ex post enforcement action under the code (Option 2) or the general provisions of the CCA (Option 4)</w:t>
      </w:r>
      <w:r w:rsidR="00C722A7">
        <w:t xml:space="preserve">. The ACCC considers </w:t>
      </w:r>
      <w:r w:rsidR="005348A7">
        <w:t xml:space="preserve">that this </w:t>
      </w:r>
      <w:r w:rsidR="00097DF2">
        <w:t xml:space="preserve">is </w:t>
      </w:r>
      <w:r w:rsidR="005348A7">
        <w:t xml:space="preserve">not likely to </w:t>
      </w:r>
      <w:r w:rsidR="00260428">
        <w:t xml:space="preserve">allow the ACCC to </w:t>
      </w:r>
      <w:r w:rsidR="005348A7">
        <w:t xml:space="preserve">effectively </w:t>
      </w:r>
      <w:r w:rsidR="00260428">
        <w:t xml:space="preserve">address, in a timely way, </w:t>
      </w:r>
      <w:r w:rsidR="005348A7">
        <w:t xml:space="preserve">a vertically integrated port terminal service provider allocating capacity in a way which is uncompetitive. </w:t>
      </w:r>
    </w:p>
    <w:p w:rsidR="001F2DF3" w:rsidRPr="003F018D" w:rsidRDefault="001F2DF3" w:rsidP="003F018D">
      <w:pPr>
        <w:pStyle w:val="Heading5"/>
        <w:numPr>
          <w:ilvl w:val="0"/>
          <w:numId w:val="22"/>
        </w:numPr>
      </w:pPr>
      <w:r w:rsidRPr="003F018D">
        <w:t xml:space="preserve">Non-discrimination </w:t>
      </w:r>
    </w:p>
    <w:p w:rsidR="001F2DF3" w:rsidRDefault="001F2DF3" w:rsidP="009930B4">
      <w:r>
        <w:t>Ensuring ‘fair and transparent</w:t>
      </w:r>
      <w:r w:rsidR="009930B4">
        <w:t>’ provision of</w:t>
      </w:r>
      <w:r>
        <w:t xml:space="preserve"> access to port terminal services</w:t>
      </w:r>
      <w:r w:rsidR="009930B4">
        <w:t xml:space="preserve"> </w:t>
      </w:r>
      <w:r>
        <w:t xml:space="preserve">is </w:t>
      </w:r>
      <w:r w:rsidR="009930B4">
        <w:t>one of the key objectives</w:t>
      </w:r>
      <w:r>
        <w:t xml:space="preserve"> of the </w:t>
      </w:r>
      <w:r w:rsidR="009930B4">
        <w:t>c</w:t>
      </w:r>
      <w:r>
        <w:t xml:space="preserve">ode. The ACCC considers that </w:t>
      </w:r>
      <w:r w:rsidR="009930B4">
        <w:t>t</w:t>
      </w:r>
      <w:r w:rsidR="00E23581">
        <w:t>o be effective the c</w:t>
      </w:r>
      <w:r>
        <w:t xml:space="preserve">ode should include a non-discrimination </w:t>
      </w:r>
      <w:r w:rsidR="009930B4">
        <w:t>clause</w:t>
      </w:r>
      <w:r>
        <w:t xml:space="preserve"> as one of the behavioural requirements, to </w:t>
      </w:r>
      <w:r w:rsidR="00F459E4">
        <w:t>support this objective</w:t>
      </w:r>
      <w:r>
        <w:t xml:space="preserve">. </w:t>
      </w:r>
    </w:p>
    <w:p w:rsidR="009930B4" w:rsidRDefault="009930B4" w:rsidP="009930B4"/>
    <w:p w:rsidR="00260428" w:rsidRDefault="001F2DF3" w:rsidP="00AD75F0">
      <w:pPr>
        <w:pStyle w:val="Body"/>
      </w:pPr>
      <w:r>
        <w:t>The i</w:t>
      </w:r>
      <w:r w:rsidR="009930B4">
        <w:t xml:space="preserve">ntention of a non-discrimination requirement </w:t>
      </w:r>
      <w:r>
        <w:t xml:space="preserve">is that a vertically integrated port terminal service provider should not offer </w:t>
      </w:r>
      <w:r w:rsidR="00F459E4">
        <w:t xml:space="preserve">favourable </w:t>
      </w:r>
      <w:r>
        <w:t>terms to its own trading division</w:t>
      </w:r>
      <w:r w:rsidR="009930B4">
        <w:t xml:space="preserve"> (or that of an associated business)</w:t>
      </w:r>
      <w:r>
        <w:t xml:space="preserve"> that are not available to third party access seekers simply because they are not vertically</w:t>
      </w:r>
      <w:r w:rsidR="00D44811">
        <w:t xml:space="preserve"> </w:t>
      </w:r>
      <w:r>
        <w:t xml:space="preserve">integrated with the port. </w:t>
      </w:r>
      <w:r w:rsidR="008B7330">
        <w:t xml:space="preserve">The ACCC considers this is important in order to </w:t>
      </w:r>
      <w:r w:rsidR="005E2741">
        <w:t xml:space="preserve">prohibit preferential self-treatment by a vertically integrated port terminal service provider. </w:t>
      </w:r>
    </w:p>
    <w:p w:rsidR="009930B4" w:rsidRDefault="009930B4" w:rsidP="00AD75F0">
      <w:pPr>
        <w:pStyle w:val="Body"/>
      </w:pPr>
      <w:r>
        <w:t xml:space="preserve">The ACCC notes that </w:t>
      </w:r>
      <w:r w:rsidR="005915E1">
        <w:t xml:space="preserve">such a provision </w:t>
      </w:r>
      <w:r>
        <w:t xml:space="preserve">is </w:t>
      </w:r>
      <w:r w:rsidR="001F2DF3">
        <w:t xml:space="preserve">not </w:t>
      </w:r>
      <w:r>
        <w:t xml:space="preserve">intended as </w:t>
      </w:r>
      <w:r w:rsidR="001F2DF3">
        <w:t>a general prohibition on</w:t>
      </w:r>
      <w:r w:rsidR="005E2741">
        <w:t xml:space="preserve"> differentiated prices or terms of access determined via commercial negotiation between parties</w:t>
      </w:r>
      <w:r w:rsidR="001F2DF3">
        <w:t xml:space="preserve">. </w:t>
      </w:r>
      <w:r w:rsidR="005E2741">
        <w:t xml:space="preserve">Access seekers </w:t>
      </w:r>
      <w:r w:rsidR="001F2DF3">
        <w:t xml:space="preserve">are </w:t>
      </w:r>
      <w:r>
        <w:t xml:space="preserve">therefore </w:t>
      </w:r>
      <w:r w:rsidR="001F2DF3">
        <w:t>still able to commercially negotiate</w:t>
      </w:r>
      <w:r>
        <w:t xml:space="preserve"> varying</w:t>
      </w:r>
      <w:r w:rsidR="001F2DF3">
        <w:t xml:space="preserve"> terms and conditions of access</w:t>
      </w:r>
      <w:r>
        <w:t xml:space="preserve"> to suit their particular needs</w:t>
      </w:r>
      <w:r w:rsidR="001F2DF3">
        <w:t xml:space="preserve">. </w:t>
      </w:r>
    </w:p>
    <w:p w:rsidR="001F2DF3" w:rsidRPr="003F018D" w:rsidRDefault="00E53128" w:rsidP="003F018D">
      <w:pPr>
        <w:pStyle w:val="Heading5"/>
      </w:pPr>
      <w:r>
        <w:t>ACCC view on the options</w:t>
      </w:r>
      <w:r w:rsidR="005C0FFA" w:rsidRPr="003F018D">
        <w:t xml:space="preserve"> in the early assessment RIS</w:t>
      </w:r>
    </w:p>
    <w:p w:rsidR="009A3ABA" w:rsidRDefault="009A3ABA" w:rsidP="00053545">
      <w:pPr>
        <w:pStyle w:val="Body"/>
      </w:pPr>
      <w:r>
        <w:t xml:space="preserve">As noted earlier, the ACCC considers that any regulation </w:t>
      </w:r>
      <w:r w:rsidR="00B408C1">
        <w:t>should</w:t>
      </w:r>
      <w:r>
        <w:t xml:space="preserve"> be fit-for-purpose</w:t>
      </w:r>
      <w:r w:rsidR="00F459E4">
        <w:t xml:space="preserve"> and</w:t>
      </w:r>
      <w:r>
        <w:t xml:space="preserve"> effective in achieving its policy aims.</w:t>
      </w:r>
      <w:r w:rsidR="00B408C1">
        <w:t xml:space="preserve"> Accordingly, a</w:t>
      </w:r>
      <w:r w:rsidR="002E003B">
        <w:t>ny</w:t>
      </w:r>
      <w:r w:rsidR="00B408C1">
        <w:t xml:space="preserve"> </w:t>
      </w:r>
      <w:r w:rsidR="00E23581">
        <w:t>c</w:t>
      </w:r>
      <w:r w:rsidR="00B408C1">
        <w:t xml:space="preserve">ode should </w:t>
      </w:r>
      <w:r w:rsidR="004008CC">
        <w:t>appl</w:t>
      </w:r>
      <w:r w:rsidR="00456515">
        <w:t>y</w:t>
      </w:r>
      <w:r w:rsidR="004008CC">
        <w:t xml:space="preserve"> an appropriate level of regulation</w:t>
      </w:r>
      <w:r w:rsidR="00456515">
        <w:t xml:space="preserve"> having regard to the market problem,</w:t>
      </w:r>
      <w:r w:rsidR="004008CC">
        <w:t xml:space="preserve"> and effectively </w:t>
      </w:r>
      <w:r w:rsidR="00157495">
        <w:t>cover</w:t>
      </w:r>
      <w:r w:rsidR="002E003B">
        <w:t xml:space="preserve"> those entities that are intended to be </w:t>
      </w:r>
      <w:r w:rsidR="00157495">
        <w:t>covered</w:t>
      </w:r>
      <w:r w:rsidR="004008CC">
        <w:t>.</w:t>
      </w:r>
    </w:p>
    <w:p w:rsidR="009720D0" w:rsidRDefault="005C0FFA" w:rsidP="00053545">
      <w:pPr>
        <w:pStyle w:val="Body"/>
      </w:pPr>
      <w:r>
        <w:t xml:space="preserve">As set out above, the ACCC considers that </w:t>
      </w:r>
      <w:r w:rsidR="009930B4">
        <w:t xml:space="preserve">Option 3 (a code based on the exposure draft) is most likely to apply effective and fit-for-purpose regulation to address concerns regarding the vertical integration and lack of competitive constraint faced by some port terminal service providers, while allowing for the removal of regulation where it is not required. </w:t>
      </w:r>
    </w:p>
    <w:p w:rsidR="009930B4" w:rsidRDefault="009930B4" w:rsidP="00053545">
      <w:pPr>
        <w:pStyle w:val="Body"/>
      </w:pPr>
      <w:r>
        <w:t>The ACCC considers that Option 1</w:t>
      </w:r>
      <w:r w:rsidR="005C0FFA">
        <w:t xml:space="preserve"> (</w:t>
      </w:r>
      <w:r>
        <w:t>retaining the current access undertaking arrangements</w:t>
      </w:r>
      <w:r w:rsidR="005C0FFA">
        <w:t>)</w:t>
      </w:r>
      <w:r>
        <w:t xml:space="preserve"> </w:t>
      </w:r>
      <w:r w:rsidR="00F13646">
        <w:t xml:space="preserve">is </w:t>
      </w:r>
      <w:r>
        <w:t xml:space="preserve">also </w:t>
      </w:r>
      <w:r w:rsidR="005C0FFA">
        <w:t xml:space="preserve">sufficiently flexible as to </w:t>
      </w:r>
      <w:r>
        <w:t>achieve a similar result</w:t>
      </w:r>
      <w:r w:rsidR="005C0FFA">
        <w:t>,</w:t>
      </w:r>
      <w:r>
        <w:t xml:space="preserve"> particularly given </w:t>
      </w:r>
      <w:r w:rsidR="002E2009">
        <w:t xml:space="preserve">that regulation under an </w:t>
      </w:r>
      <w:r>
        <w:t xml:space="preserve">access undertaking </w:t>
      </w:r>
      <w:r w:rsidR="002E2009">
        <w:t>can</w:t>
      </w:r>
      <w:r>
        <w:t xml:space="preserve"> be tailored </w:t>
      </w:r>
      <w:r w:rsidR="002E2009">
        <w:t>in order to be appropriate for</w:t>
      </w:r>
      <w:r>
        <w:t xml:space="preserve"> particular circumstances.</w:t>
      </w:r>
      <w:r>
        <w:rPr>
          <w:rStyle w:val="FootnoteReference"/>
        </w:rPr>
        <w:footnoteReference w:id="6"/>
      </w:r>
      <w:r>
        <w:t xml:space="preserve"> </w:t>
      </w:r>
      <w:r w:rsidR="00E867E9">
        <w:t xml:space="preserve">However, the ACCC </w:t>
      </w:r>
      <w:r w:rsidR="00260428">
        <w:t xml:space="preserve">understands that </w:t>
      </w:r>
      <w:r w:rsidR="004008CC" w:rsidRPr="00456515">
        <w:t>there may be</w:t>
      </w:r>
      <w:r w:rsidR="00E867E9" w:rsidRPr="00095A04">
        <w:t xml:space="preserve"> concerns</w:t>
      </w:r>
      <w:r w:rsidR="001935F7" w:rsidRPr="00095A04">
        <w:t xml:space="preserve"> from industry</w:t>
      </w:r>
      <w:r w:rsidR="00E867E9">
        <w:t xml:space="preserve"> regarding </w:t>
      </w:r>
      <w:r w:rsidR="004008CC">
        <w:t>the scope and application of the current regime</w:t>
      </w:r>
      <w:r w:rsidR="001B05B8">
        <w:t>, which could potentially be addressed if a mandatory code of conduct is introduced</w:t>
      </w:r>
      <w:r w:rsidR="00E867E9">
        <w:t>.</w:t>
      </w:r>
      <w:r w:rsidR="001B05B8">
        <w:t xml:space="preserve">  </w:t>
      </w:r>
      <w:r w:rsidR="00E867E9">
        <w:t xml:space="preserve"> </w:t>
      </w:r>
    </w:p>
    <w:p w:rsidR="00B408C1" w:rsidRDefault="00E867E9" w:rsidP="001F2DF3">
      <w:pPr>
        <w:pStyle w:val="Body"/>
      </w:pPr>
      <w:r>
        <w:t>T</w:t>
      </w:r>
      <w:r w:rsidR="009930B4">
        <w:t xml:space="preserve">he ACCC </w:t>
      </w:r>
      <w:r w:rsidR="00C722A7">
        <w:t>has</w:t>
      </w:r>
      <w:r w:rsidR="009930B4">
        <w:t xml:space="preserve"> concerns with Option 2 (</w:t>
      </w:r>
      <w:r w:rsidR="001F2DF3">
        <w:t>a one-size-fits-all code)</w:t>
      </w:r>
      <w:r w:rsidR="009930B4">
        <w:t xml:space="preserve"> or Option 4 (</w:t>
      </w:r>
      <w:r w:rsidR="001F2DF3">
        <w:t>removing industry-specific regulation altogether)</w:t>
      </w:r>
      <w:r w:rsidR="009930B4">
        <w:t>. An ineffective and</w:t>
      </w:r>
      <w:r w:rsidR="005C0FFA">
        <w:t xml:space="preserve"> inflexible code</w:t>
      </w:r>
      <w:r w:rsidR="002E2009">
        <w:t xml:space="preserve"> or the removal of industry-specific </w:t>
      </w:r>
      <w:r w:rsidR="005C0FFA">
        <w:t xml:space="preserve">regulation </w:t>
      </w:r>
      <w:r w:rsidR="009930B4">
        <w:t>may</w:t>
      </w:r>
      <w:r w:rsidR="001F2DF3">
        <w:t xml:space="preserve"> </w:t>
      </w:r>
      <w:r w:rsidR="009930B4">
        <w:t xml:space="preserve">allow </w:t>
      </w:r>
      <w:r w:rsidR="001F2DF3">
        <w:t xml:space="preserve">regional monopolies with market power </w:t>
      </w:r>
      <w:r w:rsidR="009930B4">
        <w:t>t</w:t>
      </w:r>
      <w:r w:rsidR="001F2DF3">
        <w:t>o foreclose competition in related markets</w:t>
      </w:r>
      <w:r w:rsidR="002E2009">
        <w:t>,</w:t>
      </w:r>
      <w:r w:rsidR="005C0FFA">
        <w:t xml:space="preserve"> such as </w:t>
      </w:r>
      <w:r w:rsidR="002E2009">
        <w:t xml:space="preserve">the market for </w:t>
      </w:r>
      <w:r w:rsidR="005C0FFA">
        <w:t xml:space="preserve">storage and handling </w:t>
      </w:r>
      <w:r w:rsidR="002E2009">
        <w:t xml:space="preserve">services, </w:t>
      </w:r>
      <w:r w:rsidR="005C0FFA">
        <w:t xml:space="preserve">or </w:t>
      </w:r>
      <w:r w:rsidR="002E2009">
        <w:t>the purchase of wheat for export</w:t>
      </w:r>
      <w:r w:rsidR="005C0FFA">
        <w:t xml:space="preserve">. </w:t>
      </w:r>
      <w:r w:rsidR="004008CC">
        <w:t>This outcome would be inconsistent with the objective</w:t>
      </w:r>
      <w:r w:rsidR="003F018D">
        <w:t xml:space="preserve"> of </w:t>
      </w:r>
      <w:r w:rsidR="004008CC">
        <w:t xml:space="preserve">an efficient and profitable wheat export marketing industry that supports </w:t>
      </w:r>
      <w:r w:rsidR="003F018D">
        <w:t xml:space="preserve">the competitiveness of all sectors in the supply chain. </w:t>
      </w:r>
      <w:r w:rsidR="004008CC">
        <w:t>An ineffective and inflexible code or the removal of industry-specific regulation is also unlikely to ensure fair and transparent access to port terminal services.</w:t>
      </w:r>
    </w:p>
    <w:p w:rsidR="00C93E2C" w:rsidRDefault="005C0FFA" w:rsidP="001F2DF3">
      <w:pPr>
        <w:pStyle w:val="Body"/>
      </w:pPr>
      <w:r>
        <w:t>Ultimately,</w:t>
      </w:r>
      <w:r w:rsidR="00EC363E">
        <w:t xml:space="preserve"> given that the export price for wheat is determined by global markets,</w:t>
      </w:r>
      <w:r>
        <w:t xml:space="preserve"> foreclosing competition </w:t>
      </w:r>
      <w:r w:rsidR="003F018D">
        <w:t xml:space="preserve">in </w:t>
      </w:r>
      <w:r w:rsidR="00EC363E">
        <w:t xml:space="preserve">the markets for </w:t>
      </w:r>
      <w:r w:rsidR="00C722A7">
        <w:t xml:space="preserve">marketing, </w:t>
      </w:r>
      <w:r w:rsidR="00EC363E">
        <w:t>storage</w:t>
      </w:r>
      <w:r w:rsidR="00C722A7">
        <w:t xml:space="preserve"> and</w:t>
      </w:r>
      <w:r w:rsidR="00EC363E">
        <w:t xml:space="preserve"> handling </w:t>
      </w:r>
      <w:r w:rsidR="00E53128">
        <w:t xml:space="preserve">of wheat </w:t>
      </w:r>
      <w:r>
        <w:t>will reduce the options available to growers and</w:t>
      </w:r>
      <w:r w:rsidR="00EC363E">
        <w:t xml:space="preserve"> limit </w:t>
      </w:r>
      <w:r>
        <w:t xml:space="preserve">their ability to achieve the best price for their product.  </w:t>
      </w:r>
    </w:p>
    <w:p w:rsidR="002E003B" w:rsidRDefault="001F2DF3" w:rsidP="00704525">
      <w:pPr>
        <w:pStyle w:val="Body"/>
      </w:pPr>
      <w:r>
        <w:t xml:space="preserve">The ACCC </w:t>
      </w:r>
      <w:r w:rsidR="00260428">
        <w:t>will</w:t>
      </w:r>
      <w:r>
        <w:t xml:space="preserve"> continue to work with the Department of Agriculture to develop a</w:t>
      </w:r>
      <w:r w:rsidR="005C0FFA">
        <w:t xml:space="preserve">n </w:t>
      </w:r>
      <w:r w:rsidR="005C0FFA" w:rsidRPr="00E53128">
        <w:t>effective, fit-for-purpose</w:t>
      </w:r>
      <w:r>
        <w:t xml:space="preserve"> mandatory code of conduct prior to 30 September 2014, taking into account the views expressed by stakeholders during consultation.</w:t>
      </w:r>
      <w:r w:rsidR="002E003B">
        <w:t xml:space="preserve"> Should a mandatory code of conduct be introduced, the ACCC will also carry out its educative, monitoring and enforcement roles under the Act.</w:t>
      </w:r>
    </w:p>
    <w:p w:rsidR="00053545" w:rsidRDefault="00704525" w:rsidP="00704525">
      <w:pPr>
        <w:pStyle w:val="Body"/>
      </w:pPr>
      <w:r>
        <w:t xml:space="preserve">Yours sincerely </w:t>
      </w:r>
    </w:p>
    <w:p w:rsidR="00053545" w:rsidRDefault="00053545" w:rsidP="00053545"/>
    <w:p w:rsidR="001F2DF3" w:rsidRDefault="004D4A5F" w:rsidP="00053545">
      <w:r>
        <w:rPr>
          <w:noProof/>
        </w:rPr>
        <w:drawing>
          <wp:inline distT="0" distB="0" distL="0" distR="0" wp14:anchorId="69378ED7" wp14:editId="136FCF6F">
            <wp:extent cx="1790700" cy="533400"/>
            <wp:effectExtent l="0" t="0" r="0" b="0"/>
            <wp:docPr id="1" name="Picture 1" descr="\\SCBRFS001\home$\jbear\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BRFS001\home$\jbear\Signatur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90700" cy="533400"/>
                    </a:xfrm>
                    <a:prstGeom prst="rect">
                      <a:avLst/>
                    </a:prstGeom>
                    <a:noFill/>
                    <a:ln>
                      <a:noFill/>
                    </a:ln>
                  </pic:spPr>
                </pic:pic>
              </a:graphicData>
            </a:graphic>
          </wp:inline>
        </w:drawing>
      </w:r>
    </w:p>
    <w:p w:rsidR="00FE5824" w:rsidRDefault="00FE5824" w:rsidP="00053545"/>
    <w:p w:rsidR="001F2DF3" w:rsidRDefault="001F2DF3" w:rsidP="00053545"/>
    <w:p w:rsidR="00E52F9C" w:rsidRDefault="00E52F9C" w:rsidP="00BE1F1B">
      <w:r>
        <w:t xml:space="preserve">Michael Cosgrave </w:t>
      </w:r>
    </w:p>
    <w:p w:rsidR="00E52F9C" w:rsidRDefault="00E52F9C" w:rsidP="00BE1F1B">
      <w:r>
        <w:t xml:space="preserve">Executive General Manager </w:t>
      </w:r>
    </w:p>
    <w:p w:rsidR="00704525" w:rsidRDefault="00E52F9C" w:rsidP="00BE1F1B">
      <w:r>
        <w:t>Infrastructure Regulation</w:t>
      </w:r>
      <w:r w:rsidR="00C911A5">
        <w:t xml:space="preserve"> Division</w:t>
      </w:r>
      <w:r>
        <w:t xml:space="preserve"> </w:t>
      </w:r>
    </w:p>
    <w:sectPr w:rsidR="00704525" w:rsidSect="00D6569C">
      <w:footerReference w:type="default" r:id="rId11"/>
      <w:head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797F" w:rsidRDefault="0062797F" w:rsidP="00605B7D">
      <w:pPr>
        <w:spacing w:line="240" w:lineRule="auto"/>
      </w:pPr>
      <w:r>
        <w:separator/>
      </w:r>
    </w:p>
  </w:endnote>
  <w:endnote w:type="continuationSeparator" w:id="0">
    <w:p w:rsidR="0062797F" w:rsidRDefault="0062797F" w:rsidP="00605B7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Lucida Fax">
    <w:panose1 w:val="0206060205050502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165820"/>
      <w:docPartObj>
        <w:docPartGallery w:val="Page Numbers (Bottom of Page)"/>
        <w:docPartUnique/>
      </w:docPartObj>
    </w:sdtPr>
    <w:sdtEndPr>
      <w:rPr>
        <w:noProof/>
      </w:rPr>
    </w:sdtEndPr>
    <w:sdtContent>
      <w:p w:rsidR="00302632" w:rsidRDefault="00302632">
        <w:pPr>
          <w:pStyle w:val="Footer"/>
          <w:jc w:val="center"/>
        </w:pPr>
        <w:r>
          <w:fldChar w:fldCharType="begin"/>
        </w:r>
        <w:r>
          <w:instrText xml:space="preserve"> PAGE   \* MERGEFORMAT </w:instrText>
        </w:r>
        <w:r>
          <w:fldChar w:fldCharType="separate"/>
        </w:r>
        <w:r w:rsidR="00B64F2B">
          <w:rPr>
            <w:noProof/>
          </w:rPr>
          <w:t>5</w:t>
        </w:r>
        <w:r>
          <w:rPr>
            <w:noProof/>
          </w:rPr>
          <w:fldChar w:fldCharType="end"/>
        </w:r>
      </w:p>
    </w:sdtContent>
  </w:sdt>
  <w:p w:rsidR="00302632" w:rsidRDefault="003026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797F" w:rsidRDefault="0062797F" w:rsidP="00605B7D">
      <w:pPr>
        <w:spacing w:line="240" w:lineRule="auto"/>
      </w:pPr>
      <w:r>
        <w:separator/>
      </w:r>
    </w:p>
  </w:footnote>
  <w:footnote w:type="continuationSeparator" w:id="0">
    <w:p w:rsidR="0062797F" w:rsidRDefault="0062797F" w:rsidP="00605B7D">
      <w:pPr>
        <w:spacing w:line="240" w:lineRule="auto"/>
      </w:pPr>
      <w:r>
        <w:continuationSeparator/>
      </w:r>
    </w:p>
  </w:footnote>
  <w:footnote w:id="1">
    <w:p w:rsidR="003F018D" w:rsidRDefault="003F018D">
      <w:pPr>
        <w:pStyle w:val="FootnoteText"/>
      </w:pPr>
      <w:r>
        <w:rPr>
          <w:rStyle w:val="FootnoteReference"/>
        </w:rPr>
        <w:footnoteRef/>
      </w:r>
      <w:r>
        <w:t xml:space="preserve"> </w:t>
      </w:r>
      <w:r>
        <w:tab/>
      </w:r>
      <w:r w:rsidR="0074606A" w:rsidRPr="0074606A">
        <w:t>WEMA</w:t>
      </w:r>
      <w:r>
        <w:t xml:space="preserve">, subsection 12(2)(a) and (c). Subsections (b) and (d) relate to compliance with continuous disclosure rules and consistency with guidelines made by the ACCC relating to industry codes of conduct. </w:t>
      </w:r>
    </w:p>
  </w:footnote>
  <w:footnote w:id="2">
    <w:p w:rsidR="003F018D" w:rsidRDefault="003F018D">
      <w:pPr>
        <w:pStyle w:val="FootnoteText"/>
      </w:pPr>
      <w:r>
        <w:rPr>
          <w:rStyle w:val="FootnoteReference"/>
        </w:rPr>
        <w:footnoteRef/>
      </w:r>
      <w:r>
        <w:t xml:space="preserve"> </w:t>
      </w:r>
      <w:r>
        <w:tab/>
      </w:r>
      <w:r w:rsidR="00302632">
        <w:t>Repl</w:t>
      </w:r>
      <w:r w:rsidR="0074606A">
        <w:t xml:space="preserve">acement Explanatory Memorandum, </w:t>
      </w:r>
      <w:r w:rsidR="0074606A" w:rsidRPr="0074606A">
        <w:t>WE</w:t>
      </w:r>
      <w:r w:rsidR="0074606A">
        <w:t>MA</w:t>
      </w:r>
      <w:r w:rsidR="00302632">
        <w:t xml:space="preserve">, p. 6. </w:t>
      </w:r>
    </w:p>
  </w:footnote>
  <w:footnote w:id="3">
    <w:p w:rsidR="005E7F7C" w:rsidRPr="005E7F7C" w:rsidRDefault="005E7F7C">
      <w:pPr>
        <w:pStyle w:val="FootnoteText"/>
      </w:pPr>
      <w:r>
        <w:rPr>
          <w:rStyle w:val="FootnoteReference"/>
        </w:rPr>
        <w:footnoteRef/>
      </w:r>
      <w:r>
        <w:t xml:space="preserve"> </w:t>
      </w:r>
      <w:r>
        <w:tab/>
        <w:t xml:space="preserve">CBH Group, </w:t>
      </w:r>
      <w:r>
        <w:rPr>
          <w:i/>
        </w:rPr>
        <w:t xml:space="preserve">Submission in response to the Competition Policy Review Issues Paper, </w:t>
      </w:r>
      <w:r>
        <w:t xml:space="preserve">July 2014, </w:t>
      </w:r>
      <w:r w:rsidR="005E2741">
        <w:t xml:space="preserve">accessed at </w:t>
      </w:r>
      <w:hyperlink r:id="rId1" w:history="1">
        <w:r w:rsidRPr="0034082B">
          <w:rPr>
            <w:rStyle w:val="Hyperlink"/>
            <w:sz w:val="20"/>
          </w:rPr>
          <w:t>http://competitionpolicyreview.gov.au/files/2014/06/CBH_Group.pdf</w:t>
        </w:r>
      </w:hyperlink>
      <w:r w:rsidRPr="00FE5824">
        <w:t xml:space="preserve">, p. 5. </w:t>
      </w:r>
    </w:p>
  </w:footnote>
  <w:footnote w:id="4">
    <w:p w:rsidR="001D49F8" w:rsidRDefault="001D49F8">
      <w:pPr>
        <w:pStyle w:val="FootnoteText"/>
      </w:pPr>
      <w:r>
        <w:rPr>
          <w:rStyle w:val="FootnoteReference"/>
        </w:rPr>
        <w:footnoteRef/>
      </w:r>
      <w:r>
        <w:t xml:space="preserve"> </w:t>
      </w:r>
      <w:r>
        <w:tab/>
        <w:t xml:space="preserve">While the current access undertaking regime (Option 1) applies only to port terminal service providers which are an exporter or an associated entity of an exporter, a code under Options 2 or 3 will cover all port terminal service providers. </w:t>
      </w:r>
    </w:p>
  </w:footnote>
  <w:footnote w:id="5">
    <w:p w:rsidR="004C104A" w:rsidRDefault="004C104A">
      <w:pPr>
        <w:pStyle w:val="FootnoteText"/>
      </w:pPr>
      <w:r>
        <w:rPr>
          <w:rStyle w:val="FootnoteReference"/>
        </w:rPr>
        <w:footnoteRef/>
      </w:r>
      <w:r>
        <w:t xml:space="preserve"> </w:t>
      </w:r>
      <w:r>
        <w:tab/>
      </w:r>
      <w:r w:rsidR="00302632" w:rsidRPr="00302632">
        <w:t xml:space="preserve">Glencore, </w:t>
      </w:r>
      <w:r w:rsidR="00302632" w:rsidRPr="00302632">
        <w:rPr>
          <w:i/>
        </w:rPr>
        <w:t>Submission to the PC on Wheat Export Marketing Arrangements</w:t>
      </w:r>
      <w:r w:rsidR="00302632" w:rsidRPr="00302632">
        <w:t>, 2 May 2010, p. 12.</w:t>
      </w:r>
      <w:r>
        <w:t xml:space="preserve"> </w:t>
      </w:r>
    </w:p>
  </w:footnote>
  <w:footnote w:id="6">
    <w:p w:rsidR="009930B4" w:rsidRDefault="009930B4">
      <w:pPr>
        <w:pStyle w:val="FootnoteText"/>
      </w:pPr>
      <w:r>
        <w:rPr>
          <w:rStyle w:val="FootnoteReference"/>
        </w:rPr>
        <w:footnoteRef/>
      </w:r>
      <w:r>
        <w:t xml:space="preserve">  </w:t>
      </w:r>
      <w:r>
        <w:tab/>
        <w:t xml:space="preserve">By way of example, the ACCC recently decided to </w:t>
      </w:r>
      <w:r w:rsidR="00671D00">
        <w:t xml:space="preserve">accept GrainCorp’s application to </w:t>
      </w:r>
      <w:r w:rsidR="00671D00" w:rsidRPr="00671D00">
        <w:t xml:space="preserve">vary its undertaking to allow its Carrington terminal in Newcastle to be subject to less access regulation </w:t>
      </w:r>
      <w:r>
        <w:t xml:space="preserve">in recognition </w:t>
      </w:r>
      <w:r w:rsidR="00671D00">
        <w:t xml:space="preserve">that there is a </w:t>
      </w:r>
      <w:r w:rsidR="00671D00" w:rsidRPr="00671D00">
        <w:t>sufficient level of competition and capacity, both at the port and up-country</w:t>
      </w:r>
      <w:r w:rsidR="00671D00">
        <w:t>,</w:t>
      </w:r>
      <w:r w:rsidR="00671D00" w:rsidRPr="00671D00">
        <w:t xml:space="preserve"> and the current level of regulation is no longer required</w:t>
      </w:r>
      <w:r>
        <w:t xml:space="preserve">. </w:t>
      </w:r>
      <w:r w:rsidR="002E2009">
        <w:t xml:space="preserve">The matters the ACCC must have regard to in considering whether an access undertaking is appropriate are set out at section 44ZZA(3) of the </w:t>
      </w:r>
      <w:r w:rsidR="002E2009" w:rsidRPr="002E2009">
        <w:rPr>
          <w:i/>
        </w:rPr>
        <w:t>Competition and Consumer Act 2010</w:t>
      </w:r>
      <w:r w:rsidR="002E2009">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69C" w:rsidRDefault="00D6569C">
    <w:pPr>
      <w:pStyle w:val="Header"/>
    </w:pPr>
    <w:r w:rsidRPr="00D6569C">
      <w:rPr>
        <w:noProof/>
      </w:rPr>
      <mc:AlternateContent>
        <mc:Choice Requires="wps">
          <w:drawing>
            <wp:anchor distT="0" distB="0" distL="114300" distR="114300" simplePos="0" relativeHeight="251662336" behindDoc="0" locked="0" layoutInCell="1" allowOverlap="1" wp14:anchorId="4D24D173" wp14:editId="18840611">
              <wp:simplePos x="0" y="0"/>
              <wp:positionH relativeFrom="column">
                <wp:posOffset>3403600</wp:posOffset>
              </wp:positionH>
              <wp:positionV relativeFrom="paragraph">
                <wp:posOffset>763270</wp:posOffset>
              </wp:positionV>
              <wp:extent cx="2457450" cy="2203450"/>
              <wp:effectExtent l="0" t="0" r="0"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2203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6569C" w:rsidRPr="00D6569C" w:rsidRDefault="00D6569C" w:rsidP="00D6569C">
                          <w:pPr>
                            <w:ind w:right="113"/>
                            <w:jc w:val="right"/>
                            <w:rPr>
                              <w:sz w:val="20"/>
                              <w:szCs w:val="20"/>
                            </w:rPr>
                          </w:pPr>
                          <w:r w:rsidRPr="00D6569C">
                            <w:rPr>
                              <w:sz w:val="20"/>
                              <w:szCs w:val="20"/>
                            </w:rPr>
                            <w:t>Level 35, The Tower</w:t>
                          </w:r>
                        </w:p>
                        <w:p w:rsidR="00D6569C" w:rsidRPr="00D6569C" w:rsidRDefault="00D6569C" w:rsidP="00D6569C">
                          <w:pPr>
                            <w:ind w:right="113"/>
                            <w:jc w:val="right"/>
                            <w:rPr>
                              <w:sz w:val="20"/>
                              <w:szCs w:val="20"/>
                            </w:rPr>
                          </w:pPr>
                          <w:r w:rsidRPr="00D6569C">
                            <w:rPr>
                              <w:sz w:val="20"/>
                              <w:szCs w:val="20"/>
                            </w:rPr>
                            <w:t>360 Elizabeth Street</w:t>
                          </w:r>
                        </w:p>
                        <w:p w:rsidR="00D6569C" w:rsidRPr="00D6569C" w:rsidRDefault="00D6569C" w:rsidP="00D6569C">
                          <w:pPr>
                            <w:ind w:right="113"/>
                            <w:jc w:val="right"/>
                            <w:rPr>
                              <w:sz w:val="20"/>
                              <w:szCs w:val="20"/>
                            </w:rPr>
                          </w:pPr>
                          <w:r w:rsidRPr="00D6569C">
                            <w:rPr>
                              <w:sz w:val="20"/>
                              <w:szCs w:val="20"/>
                            </w:rPr>
                            <w:t>Melbourne Central</w:t>
                          </w:r>
                        </w:p>
                        <w:p w:rsidR="00D6569C" w:rsidRPr="00D6569C" w:rsidRDefault="00D6569C" w:rsidP="00D6569C">
                          <w:pPr>
                            <w:ind w:right="113"/>
                            <w:jc w:val="right"/>
                            <w:rPr>
                              <w:sz w:val="20"/>
                              <w:szCs w:val="20"/>
                            </w:rPr>
                          </w:pPr>
                          <w:r w:rsidRPr="00D6569C">
                            <w:rPr>
                              <w:sz w:val="20"/>
                              <w:szCs w:val="20"/>
                            </w:rPr>
                            <w:t>Melbourne Vic 3000</w:t>
                          </w:r>
                        </w:p>
                        <w:p w:rsidR="00D6569C" w:rsidRPr="00D6569C" w:rsidRDefault="00D6569C" w:rsidP="00D6569C">
                          <w:pPr>
                            <w:ind w:right="113"/>
                            <w:jc w:val="right"/>
                            <w:rPr>
                              <w:sz w:val="20"/>
                              <w:szCs w:val="20"/>
                            </w:rPr>
                          </w:pPr>
                        </w:p>
                        <w:p w:rsidR="00D6569C" w:rsidRPr="00D6569C" w:rsidRDefault="00D6569C" w:rsidP="00D6569C">
                          <w:pPr>
                            <w:ind w:right="113"/>
                            <w:jc w:val="right"/>
                            <w:rPr>
                              <w:sz w:val="20"/>
                              <w:szCs w:val="20"/>
                            </w:rPr>
                          </w:pPr>
                          <w:r w:rsidRPr="00D6569C">
                            <w:rPr>
                              <w:sz w:val="20"/>
                              <w:szCs w:val="20"/>
                            </w:rPr>
                            <w:t>GPO Box 520</w:t>
                          </w:r>
                        </w:p>
                        <w:p w:rsidR="00D6569C" w:rsidRPr="00D6569C" w:rsidRDefault="00D6569C" w:rsidP="00D6569C">
                          <w:pPr>
                            <w:ind w:right="113"/>
                            <w:jc w:val="right"/>
                            <w:rPr>
                              <w:sz w:val="20"/>
                              <w:szCs w:val="20"/>
                            </w:rPr>
                          </w:pPr>
                          <w:r w:rsidRPr="00D6569C">
                            <w:rPr>
                              <w:sz w:val="20"/>
                              <w:szCs w:val="20"/>
                            </w:rPr>
                            <w:t>Melbourne Vic 3001</w:t>
                          </w:r>
                        </w:p>
                        <w:p w:rsidR="00D6569C" w:rsidRPr="00D6569C" w:rsidRDefault="00D6569C" w:rsidP="00D6569C">
                          <w:pPr>
                            <w:ind w:right="113"/>
                            <w:jc w:val="right"/>
                            <w:rPr>
                              <w:sz w:val="20"/>
                              <w:szCs w:val="20"/>
                            </w:rPr>
                          </w:pPr>
                        </w:p>
                        <w:p w:rsidR="00D6569C" w:rsidRPr="00D6569C" w:rsidRDefault="00D6569C" w:rsidP="00D6569C">
                          <w:pPr>
                            <w:ind w:right="113"/>
                            <w:jc w:val="right"/>
                            <w:rPr>
                              <w:sz w:val="20"/>
                              <w:szCs w:val="20"/>
                            </w:rPr>
                          </w:pPr>
                          <w:r w:rsidRPr="00D6569C">
                            <w:rPr>
                              <w:sz w:val="20"/>
                              <w:szCs w:val="20"/>
                            </w:rPr>
                            <w:t>tel: (03) 9290 1800</w:t>
                          </w:r>
                        </w:p>
                        <w:p w:rsidR="00D6569C" w:rsidRPr="00D6569C" w:rsidRDefault="00D6569C" w:rsidP="00D6569C">
                          <w:pPr>
                            <w:ind w:right="113"/>
                            <w:jc w:val="right"/>
                            <w:rPr>
                              <w:sz w:val="20"/>
                              <w:szCs w:val="20"/>
                            </w:rPr>
                          </w:pPr>
                          <w:r w:rsidRPr="00D6569C">
                            <w:rPr>
                              <w:sz w:val="20"/>
                              <w:szCs w:val="20"/>
                            </w:rPr>
                            <w:t>fax: (03) 9663 3699</w:t>
                          </w:r>
                        </w:p>
                        <w:p w:rsidR="00D6569C" w:rsidRPr="00D6569C" w:rsidRDefault="00D6569C" w:rsidP="00D6569C">
                          <w:pPr>
                            <w:ind w:right="113"/>
                            <w:jc w:val="right"/>
                            <w:rPr>
                              <w:sz w:val="20"/>
                              <w:szCs w:val="20"/>
                            </w:rPr>
                          </w:pPr>
                        </w:p>
                        <w:p w:rsidR="00D6569C" w:rsidRPr="00D6569C" w:rsidRDefault="00D6569C" w:rsidP="00D6569C">
                          <w:pPr>
                            <w:ind w:right="113"/>
                            <w:jc w:val="right"/>
                            <w:rPr>
                              <w:sz w:val="20"/>
                              <w:szCs w:val="20"/>
                            </w:rPr>
                          </w:pPr>
                          <w:r w:rsidRPr="00D6569C">
                            <w:rPr>
                              <w:sz w:val="20"/>
                              <w:szCs w:val="20"/>
                            </w:rPr>
                            <w:t>www.accc.gov.au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68pt;margin-top:60.1pt;width:193.5pt;height:17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x13eAIAAAAFAAAOAAAAZHJzL2Uyb0RvYy54bWysVNuO2yAQfa/Uf0C8J77UycbWOqu9NFWl&#10;7UXa7QcQwDEqBgok9rbqv3fAcXa3F6mq6gc8wHCYmXOG84uhk+jArRNa1TibpxhxRTUTalfjT/eb&#10;2Qoj54liRGrFa/zAHb5Yv3xx3puK57rVknGLAES5qjc1br03VZI42vKOuLk2XMFmo21HPEztLmGW&#10;9IDeySRP02XSa8uM1ZQ7B6s34yZeR/ym4dR/aBrHPZI1hth8HG0ct2FM1uek2lliWkGPYZB/iKIj&#10;QsGlJ6gb4gnaW/ELVCeo1U43fk51l+imEZTHHCCbLP0pm7uWGB5zgeI4cyqT+3+w9P3ho0WC1TjH&#10;SJEOKLrng0dXekB5qE5vXAVOdwbc/ADLwHLM1JlbTT87pPR1S9SOX1qr+5YTBtFl4WTy5OiI4wLI&#10;tn+nGVxD9l5HoKGxXSgdFAMBOrD0cGImhEJhMS8WZ8UCtijs5Xn6KkzCHaSajhvr/BuuOxSMGlug&#10;PsKTw63zo+vkEm5zWgq2EVLGid1tr6VFBwIy2cTviP7MTargrHQ4NiKOKxAl3BH2QryR9m9llhfp&#10;VV7ONsvV2azYFItZeZauZmlWXpXLtCiLm833EGBWVK1gjKtbofgkwaz4O4qPzTCKJ4oQ9TUuF/li&#10;5OiPSabx+12SnfDQkVJ0NV6dnEgVmH2tGKRNKk+EHO3kefiREKjB9I9ViToI1I8i8MN2AJQgjq1m&#10;D6AIq4Ev4BaeETBabb9i1ENL1th92RPLMZJvFagq9O9k2MnYTgZRFI7W2GM0mtd+7PO9sWLXAvKo&#10;W6UvQXmNiJp4jOKoV2izGPzxSQh9/HQevR4frvUPAAAA//8DAFBLAwQUAAYACAAAACEAaFKkQuAA&#10;AAALAQAADwAAAGRycy9kb3ducmV2LnhtbEyPwU7DMBBE70j8g7VIXBB1cCEtIU4FLdzg0FL17MZL&#10;EhGvo9hp0r9nOcFxZ0azb/LV5Fpxwj40njTczRIQSKW3DVUa9p9vt0sQIRqypvWEGs4YYFVcXuQm&#10;s36kLZ52sRJcQiEzGuoYu0zKUNboTJj5Dom9L987E/nsK2l7M3K5a6VKklQ60xB/qE2H6xrL793g&#10;NKSbfhi3tL7Z7F/fzUdXqcPL+aD19dX0/AQi4hT/wvCLz+hQMNPRD2SDaDU8zFPeEtlQiQLBiUc1&#10;Z+Wo4T5dKJBFLv9vKH4AAAD//wMAUEsBAi0AFAAGAAgAAAAhALaDOJL+AAAA4QEAABMAAAAAAAAA&#10;AAAAAAAAAAAAAFtDb250ZW50X1R5cGVzXS54bWxQSwECLQAUAAYACAAAACEAOP0h/9YAAACUAQAA&#10;CwAAAAAAAAAAAAAAAAAvAQAAX3JlbHMvLnJlbHNQSwECLQAUAAYACAAAACEAqcMdd3gCAAAABQAA&#10;DgAAAAAAAAAAAAAAAAAuAgAAZHJzL2Uyb0RvYy54bWxQSwECLQAUAAYACAAAACEAaFKkQuAAAAAL&#10;AQAADwAAAAAAAAAAAAAAAADSBAAAZHJzL2Rvd25yZXYueG1sUEsFBgAAAAAEAAQA8wAAAN8FAAAA&#10;AA==&#10;" stroked="f">
              <v:textbox inset="0,0,0,0">
                <w:txbxContent>
                  <w:p w:rsidR="00D6569C" w:rsidRPr="00D6569C" w:rsidRDefault="00D6569C" w:rsidP="00D6569C">
                    <w:pPr>
                      <w:ind w:right="113"/>
                      <w:jc w:val="right"/>
                      <w:rPr>
                        <w:sz w:val="20"/>
                        <w:szCs w:val="20"/>
                      </w:rPr>
                    </w:pPr>
                    <w:r w:rsidRPr="00D6569C">
                      <w:rPr>
                        <w:sz w:val="20"/>
                        <w:szCs w:val="20"/>
                      </w:rPr>
                      <w:t>Level 35, The Tower</w:t>
                    </w:r>
                  </w:p>
                  <w:p w:rsidR="00D6569C" w:rsidRPr="00D6569C" w:rsidRDefault="00D6569C" w:rsidP="00D6569C">
                    <w:pPr>
                      <w:ind w:right="113"/>
                      <w:jc w:val="right"/>
                      <w:rPr>
                        <w:sz w:val="20"/>
                        <w:szCs w:val="20"/>
                      </w:rPr>
                    </w:pPr>
                    <w:r w:rsidRPr="00D6569C">
                      <w:rPr>
                        <w:sz w:val="20"/>
                        <w:szCs w:val="20"/>
                      </w:rPr>
                      <w:t>360 Elizabeth Street</w:t>
                    </w:r>
                  </w:p>
                  <w:p w:rsidR="00D6569C" w:rsidRPr="00D6569C" w:rsidRDefault="00D6569C" w:rsidP="00D6569C">
                    <w:pPr>
                      <w:ind w:right="113"/>
                      <w:jc w:val="right"/>
                      <w:rPr>
                        <w:sz w:val="20"/>
                        <w:szCs w:val="20"/>
                      </w:rPr>
                    </w:pPr>
                    <w:r w:rsidRPr="00D6569C">
                      <w:rPr>
                        <w:sz w:val="20"/>
                        <w:szCs w:val="20"/>
                      </w:rPr>
                      <w:t>Melbourne Central</w:t>
                    </w:r>
                  </w:p>
                  <w:p w:rsidR="00D6569C" w:rsidRPr="00D6569C" w:rsidRDefault="00D6569C" w:rsidP="00D6569C">
                    <w:pPr>
                      <w:ind w:right="113"/>
                      <w:jc w:val="right"/>
                      <w:rPr>
                        <w:sz w:val="20"/>
                        <w:szCs w:val="20"/>
                      </w:rPr>
                    </w:pPr>
                    <w:r w:rsidRPr="00D6569C">
                      <w:rPr>
                        <w:sz w:val="20"/>
                        <w:szCs w:val="20"/>
                      </w:rPr>
                      <w:t>Melbourne Vic 3000</w:t>
                    </w:r>
                  </w:p>
                  <w:p w:rsidR="00D6569C" w:rsidRPr="00D6569C" w:rsidRDefault="00D6569C" w:rsidP="00D6569C">
                    <w:pPr>
                      <w:ind w:right="113"/>
                      <w:jc w:val="right"/>
                      <w:rPr>
                        <w:sz w:val="20"/>
                        <w:szCs w:val="20"/>
                      </w:rPr>
                    </w:pPr>
                  </w:p>
                  <w:p w:rsidR="00D6569C" w:rsidRPr="00D6569C" w:rsidRDefault="00D6569C" w:rsidP="00D6569C">
                    <w:pPr>
                      <w:ind w:right="113"/>
                      <w:jc w:val="right"/>
                      <w:rPr>
                        <w:sz w:val="20"/>
                        <w:szCs w:val="20"/>
                      </w:rPr>
                    </w:pPr>
                    <w:r w:rsidRPr="00D6569C">
                      <w:rPr>
                        <w:sz w:val="20"/>
                        <w:szCs w:val="20"/>
                      </w:rPr>
                      <w:t>GPO Box 520</w:t>
                    </w:r>
                  </w:p>
                  <w:p w:rsidR="00D6569C" w:rsidRPr="00D6569C" w:rsidRDefault="00D6569C" w:rsidP="00D6569C">
                    <w:pPr>
                      <w:ind w:right="113"/>
                      <w:jc w:val="right"/>
                      <w:rPr>
                        <w:sz w:val="20"/>
                        <w:szCs w:val="20"/>
                      </w:rPr>
                    </w:pPr>
                    <w:r w:rsidRPr="00D6569C">
                      <w:rPr>
                        <w:sz w:val="20"/>
                        <w:szCs w:val="20"/>
                      </w:rPr>
                      <w:t>Melbourne Vic 3001</w:t>
                    </w:r>
                  </w:p>
                  <w:p w:rsidR="00D6569C" w:rsidRPr="00D6569C" w:rsidRDefault="00D6569C" w:rsidP="00D6569C">
                    <w:pPr>
                      <w:ind w:right="113"/>
                      <w:jc w:val="right"/>
                      <w:rPr>
                        <w:sz w:val="20"/>
                        <w:szCs w:val="20"/>
                      </w:rPr>
                    </w:pPr>
                  </w:p>
                  <w:p w:rsidR="00D6569C" w:rsidRPr="00D6569C" w:rsidRDefault="00D6569C" w:rsidP="00D6569C">
                    <w:pPr>
                      <w:ind w:right="113"/>
                      <w:jc w:val="right"/>
                      <w:rPr>
                        <w:sz w:val="20"/>
                        <w:szCs w:val="20"/>
                      </w:rPr>
                    </w:pPr>
                    <w:r w:rsidRPr="00D6569C">
                      <w:rPr>
                        <w:sz w:val="20"/>
                        <w:szCs w:val="20"/>
                      </w:rPr>
                      <w:t>tel: (03) 9290 1800</w:t>
                    </w:r>
                  </w:p>
                  <w:p w:rsidR="00D6569C" w:rsidRPr="00D6569C" w:rsidRDefault="00D6569C" w:rsidP="00D6569C">
                    <w:pPr>
                      <w:ind w:right="113"/>
                      <w:jc w:val="right"/>
                      <w:rPr>
                        <w:sz w:val="20"/>
                        <w:szCs w:val="20"/>
                      </w:rPr>
                    </w:pPr>
                    <w:r w:rsidRPr="00D6569C">
                      <w:rPr>
                        <w:sz w:val="20"/>
                        <w:szCs w:val="20"/>
                      </w:rPr>
                      <w:t>fax: (03) 9663 3699</w:t>
                    </w:r>
                  </w:p>
                  <w:p w:rsidR="00D6569C" w:rsidRPr="00D6569C" w:rsidRDefault="00D6569C" w:rsidP="00D6569C">
                    <w:pPr>
                      <w:ind w:right="113"/>
                      <w:jc w:val="right"/>
                      <w:rPr>
                        <w:sz w:val="20"/>
                        <w:szCs w:val="20"/>
                      </w:rPr>
                    </w:pPr>
                  </w:p>
                  <w:p w:rsidR="00D6569C" w:rsidRPr="00D6569C" w:rsidRDefault="00D6569C" w:rsidP="00D6569C">
                    <w:pPr>
                      <w:ind w:right="113"/>
                      <w:jc w:val="right"/>
                      <w:rPr>
                        <w:sz w:val="20"/>
                        <w:szCs w:val="20"/>
                      </w:rPr>
                    </w:pPr>
                    <w:r w:rsidRPr="00D6569C">
                      <w:rPr>
                        <w:sz w:val="20"/>
                        <w:szCs w:val="20"/>
                      </w:rPr>
                      <w:t>www.accc.gov.au</w:t>
                    </w:r>
                  </w:p>
                </w:txbxContent>
              </v:textbox>
            </v:shape>
          </w:pict>
        </mc:Fallback>
      </mc:AlternateContent>
    </w:r>
    <w:r w:rsidRPr="00D6569C">
      <w:rPr>
        <w:noProof/>
      </w:rPr>
      <w:drawing>
        <wp:anchor distT="0" distB="0" distL="114300" distR="114300" simplePos="0" relativeHeight="251663360" behindDoc="0" locked="0" layoutInCell="1" allowOverlap="1" wp14:anchorId="463FFF50" wp14:editId="203284FE">
          <wp:simplePos x="0" y="0"/>
          <wp:positionH relativeFrom="column">
            <wp:posOffset>3396615</wp:posOffset>
          </wp:positionH>
          <wp:positionV relativeFrom="paragraph">
            <wp:posOffset>-31115</wp:posOffset>
          </wp:positionV>
          <wp:extent cx="2409825" cy="561975"/>
          <wp:effectExtent l="0" t="0" r="9525" b="9525"/>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9825" cy="5619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C92816E"/>
    <w:lvl w:ilvl="0">
      <w:start w:val="1"/>
      <w:numFmt w:val="decimal"/>
      <w:lvlText w:val="%1."/>
      <w:lvlJc w:val="left"/>
      <w:pPr>
        <w:tabs>
          <w:tab w:val="num" w:pos="1492"/>
        </w:tabs>
        <w:ind w:left="1492" w:hanging="360"/>
      </w:pPr>
    </w:lvl>
  </w:abstractNum>
  <w:abstractNum w:abstractNumId="1">
    <w:nsid w:val="FFFFFF7D"/>
    <w:multiLevelType w:val="singleLevel"/>
    <w:tmpl w:val="05864E92"/>
    <w:lvl w:ilvl="0">
      <w:start w:val="1"/>
      <w:numFmt w:val="decimal"/>
      <w:lvlText w:val="%1."/>
      <w:lvlJc w:val="left"/>
      <w:pPr>
        <w:tabs>
          <w:tab w:val="num" w:pos="1209"/>
        </w:tabs>
        <w:ind w:left="1209" w:hanging="360"/>
      </w:pPr>
    </w:lvl>
  </w:abstractNum>
  <w:abstractNum w:abstractNumId="2">
    <w:nsid w:val="FFFFFF7E"/>
    <w:multiLevelType w:val="singleLevel"/>
    <w:tmpl w:val="01FEB3FA"/>
    <w:lvl w:ilvl="0">
      <w:start w:val="1"/>
      <w:numFmt w:val="decimal"/>
      <w:lvlText w:val="%1."/>
      <w:lvlJc w:val="left"/>
      <w:pPr>
        <w:tabs>
          <w:tab w:val="num" w:pos="926"/>
        </w:tabs>
        <w:ind w:left="926" w:hanging="360"/>
      </w:pPr>
    </w:lvl>
  </w:abstractNum>
  <w:abstractNum w:abstractNumId="3">
    <w:nsid w:val="FFFFFF7F"/>
    <w:multiLevelType w:val="singleLevel"/>
    <w:tmpl w:val="9C88B246"/>
    <w:lvl w:ilvl="0">
      <w:start w:val="1"/>
      <w:numFmt w:val="decimal"/>
      <w:pStyle w:val="ListNumber2"/>
      <w:lvlText w:val="%1."/>
      <w:lvlJc w:val="left"/>
      <w:pPr>
        <w:tabs>
          <w:tab w:val="num" w:pos="643"/>
        </w:tabs>
        <w:ind w:left="643" w:hanging="360"/>
      </w:pPr>
    </w:lvl>
  </w:abstractNum>
  <w:abstractNum w:abstractNumId="4">
    <w:nsid w:val="FFFFFF80"/>
    <w:multiLevelType w:val="singleLevel"/>
    <w:tmpl w:val="5C8A6E8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C68418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718CF9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262730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9D0FE4C"/>
    <w:lvl w:ilvl="0">
      <w:start w:val="1"/>
      <w:numFmt w:val="decimal"/>
      <w:pStyle w:val="ListNumber"/>
      <w:lvlText w:val="%1."/>
      <w:lvlJc w:val="left"/>
      <w:pPr>
        <w:tabs>
          <w:tab w:val="num" w:pos="360"/>
        </w:tabs>
        <w:ind w:left="360" w:hanging="360"/>
      </w:pPr>
    </w:lvl>
  </w:abstractNum>
  <w:abstractNum w:abstractNumId="9">
    <w:nsid w:val="FFFFFF89"/>
    <w:multiLevelType w:val="singleLevel"/>
    <w:tmpl w:val="0862F27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FC3577"/>
    <w:multiLevelType w:val="multilevel"/>
    <w:tmpl w:val="8AE4EE6C"/>
    <w:lvl w:ilvl="0">
      <w:start w:val="1"/>
      <w:numFmt w:val="decimal"/>
      <w:lvlText w:val="%1."/>
      <w:lvlJc w:val="left"/>
      <w:pPr>
        <w:ind w:left="360" w:hanging="360"/>
      </w:pPr>
    </w:lvl>
    <w:lvl w:ilvl="1">
      <w:start w:val="1"/>
      <w:numFmt w:val="decimal"/>
      <w:pStyle w:val="Headingnumbered11"/>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33E73B6"/>
    <w:multiLevelType w:val="hybridMultilevel"/>
    <w:tmpl w:val="BEE61D6A"/>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2">
    <w:nsid w:val="19B737F8"/>
    <w:multiLevelType w:val="hybridMultilevel"/>
    <w:tmpl w:val="F3745BA8"/>
    <w:lvl w:ilvl="0" w:tplc="AC54BDC0">
      <w:start w:val="1"/>
      <w:numFmt w:val="decimal"/>
      <w:pStyle w:val="Headingnumbered1"/>
      <w:lvlText w:val="%1."/>
      <w:lvlJc w:val="left"/>
      <w:pPr>
        <w:ind w:left="36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3">
    <w:nsid w:val="232034ED"/>
    <w:multiLevelType w:val="hybridMultilevel"/>
    <w:tmpl w:val="51F496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A6E7FC4"/>
    <w:multiLevelType w:val="hybridMultilevel"/>
    <w:tmpl w:val="463258C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nsid w:val="3C8F6B5B"/>
    <w:multiLevelType w:val="hybridMultilevel"/>
    <w:tmpl w:val="9168DB1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nsid w:val="429046A0"/>
    <w:multiLevelType w:val="multilevel"/>
    <w:tmpl w:val="9A30B4A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Headingnumbered111"/>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44065F76"/>
    <w:multiLevelType w:val="hybridMultilevel"/>
    <w:tmpl w:val="0882B714"/>
    <w:lvl w:ilvl="0" w:tplc="8FF0783E">
      <w:start w:val="1"/>
      <w:numFmt w:val="lowerLetter"/>
      <w:pStyle w:val="Numberedlist2"/>
      <w:lvlText w:val="%1)"/>
      <w:lvlJc w:val="left"/>
      <w:pPr>
        <w:ind w:left="1003" w:hanging="360"/>
      </w:pPr>
    </w:lvl>
    <w:lvl w:ilvl="1" w:tplc="0C090019" w:tentative="1">
      <w:start w:val="1"/>
      <w:numFmt w:val="lowerLetter"/>
      <w:lvlText w:val="%2."/>
      <w:lvlJc w:val="left"/>
      <w:pPr>
        <w:ind w:left="1723" w:hanging="360"/>
      </w:pPr>
    </w:lvl>
    <w:lvl w:ilvl="2" w:tplc="0C09001B" w:tentative="1">
      <w:start w:val="1"/>
      <w:numFmt w:val="lowerRoman"/>
      <w:lvlText w:val="%3."/>
      <w:lvlJc w:val="right"/>
      <w:pPr>
        <w:ind w:left="2443" w:hanging="180"/>
      </w:pPr>
    </w:lvl>
    <w:lvl w:ilvl="3" w:tplc="0C09000F" w:tentative="1">
      <w:start w:val="1"/>
      <w:numFmt w:val="decimal"/>
      <w:lvlText w:val="%4."/>
      <w:lvlJc w:val="left"/>
      <w:pPr>
        <w:ind w:left="3163" w:hanging="360"/>
      </w:pPr>
    </w:lvl>
    <w:lvl w:ilvl="4" w:tplc="0C090019" w:tentative="1">
      <w:start w:val="1"/>
      <w:numFmt w:val="lowerLetter"/>
      <w:lvlText w:val="%5."/>
      <w:lvlJc w:val="left"/>
      <w:pPr>
        <w:ind w:left="3883" w:hanging="360"/>
      </w:pPr>
    </w:lvl>
    <w:lvl w:ilvl="5" w:tplc="0C09001B" w:tentative="1">
      <w:start w:val="1"/>
      <w:numFmt w:val="lowerRoman"/>
      <w:lvlText w:val="%6."/>
      <w:lvlJc w:val="right"/>
      <w:pPr>
        <w:ind w:left="4603" w:hanging="180"/>
      </w:pPr>
    </w:lvl>
    <w:lvl w:ilvl="6" w:tplc="0C09000F" w:tentative="1">
      <w:start w:val="1"/>
      <w:numFmt w:val="decimal"/>
      <w:lvlText w:val="%7."/>
      <w:lvlJc w:val="left"/>
      <w:pPr>
        <w:ind w:left="5323" w:hanging="360"/>
      </w:pPr>
    </w:lvl>
    <w:lvl w:ilvl="7" w:tplc="0C090019" w:tentative="1">
      <w:start w:val="1"/>
      <w:numFmt w:val="lowerLetter"/>
      <w:lvlText w:val="%8."/>
      <w:lvlJc w:val="left"/>
      <w:pPr>
        <w:ind w:left="6043" w:hanging="360"/>
      </w:pPr>
    </w:lvl>
    <w:lvl w:ilvl="8" w:tplc="0C09001B" w:tentative="1">
      <w:start w:val="1"/>
      <w:numFmt w:val="lowerRoman"/>
      <w:lvlText w:val="%9."/>
      <w:lvlJc w:val="right"/>
      <w:pPr>
        <w:ind w:left="6763" w:hanging="180"/>
      </w:pPr>
    </w:lvl>
  </w:abstractNum>
  <w:abstractNum w:abstractNumId="18">
    <w:nsid w:val="4F1D41C0"/>
    <w:multiLevelType w:val="hybridMultilevel"/>
    <w:tmpl w:val="D9CCF79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57384C50"/>
    <w:multiLevelType w:val="hybridMultilevel"/>
    <w:tmpl w:val="45CCF90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6726588A"/>
    <w:multiLevelType w:val="hybridMultilevel"/>
    <w:tmpl w:val="CC927964"/>
    <w:lvl w:ilvl="0" w:tplc="956E30DC">
      <w:start w:val="1"/>
      <w:numFmt w:val="bullet"/>
      <w:pStyle w:val="Bulletpoint2"/>
      <w:lvlText w:val="o"/>
      <w:lvlJc w:val="left"/>
      <w:pPr>
        <w:ind w:left="1003" w:hanging="360"/>
      </w:pPr>
      <w:rPr>
        <w:rFonts w:ascii="Courier New" w:hAnsi="Courier New" w:cs="Courier New" w:hint="default"/>
      </w:rPr>
    </w:lvl>
    <w:lvl w:ilvl="1" w:tplc="0C090003" w:tentative="1">
      <w:start w:val="1"/>
      <w:numFmt w:val="bullet"/>
      <w:lvlText w:val="o"/>
      <w:lvlJc w:val="left"/>
      <w:pPr>
        <w:ind w:left="1723" w:hanging="360"/>
      </w:pPr>
      <w:rPr>
        <w:rFonts w:ascii="Courier New" w:hAnsi="Courier New" w:cs="Courier New" w:hint="default"/>
      </w:rPr>
    </w:lvl>
    <w:lvl w:ilvl="2" w:tplc="0C090005" w:tentative="1">
      <w:start w:val="1"/>
      <w:numFmt w:val="bullet"/>
      <w:lvlText w:val=""/>
      <w:lvlJc w:val="left"/>
      <w:pPr>
        <w:ind w:left="2443" w:hanging="360"/>
      </w:pPr>
      <w:rPr>
        <w:rFonts w:ascii="Wingdings" w:hAnsi="Wingdings" w:hint="default"/>
      </w:rPr>
    </w:lvl>
    <w:lvl w:ilvl="3" w:tplc="0C090001" w:tentative="1">
      <w:start w:val="1"/>
      <w:numFmt w:val="bullet"/>
      <w:lvlText w:val=""/>
      <w:lvlJc w:val="left"/>
      <w:pPr>
        <w:ind w:left="3163" w:hanging="360"/>
      </w:pPr>
      <w:rPr>
        <w:rFonts w:ascii="Symbol" w:hAnsi="Symbol" w:hint="default"/>
      </w:rPr>
    </w:lvl>
    <w:lvl w:ilvl="4" w:tplc="0C090003" w:tentative="1">
      <w:start w:val="1"/>
      <w:numFmt w:val="bullet"/>
      <w:lvlText w:val="o"/>
      <w:lvlJc w:val="left"/>
      <w:pPr>
        <w:ind w:left="3883" w:hanging="360"/>
      </w:pPr>
      <w:rPr>
        <w:rFonts w:ascii="Courier New" w:hAnsi="Courier New" w:cs="Courier New" w:hint="default"/>
      </w:rPr>
    </w:lvl>
    <w:lvl w:ilvl="5" w:tplc="0C090005" w:tentative="1">
      <w:start w:val="1"/>
      <w:numFmt w:val="bullet"/>
      <w:lvlText w:val=""/>
      <w:lvlJc w:val="left"/>
      <w:pPr>
        <w:ind w:left="4603" w:hanging="360"/>
      </w:pPr>
      <w:rPr>
        <w:rFonts w:ascii="Wingdings" w:hAnsi="Wingdings" w:hint="default"/>
      </w:rPr>
    </w:lvl>
    <w:lvl w:ilvl="6" w:tplc="0C090001" w:tentative="1">
      <w:start w:val="1"/>
      <w:numFmt w:val="bullet"/>
      <w:lvlText w:val=""/>
      <w:lvlJc w:val="left"/>
      <w:pPr>
        <w:ind w:left="5323" w:hanging="360"/>
      </w:pPr>
      <w:rPr>
        <w:rFonts w:ascii="Symbol" w:hAnsi="Symbol" w:hint="default"/>
      </w:rPr>
    </w:lvl>
    <w:lvl w:ilvl="7" w:tplc="0C090003" w:tentative="1">
      <w:start w:val="1"/>
      <w:numFmt w:val="bullet"/>
      <w:lvlText w:val="o"/>
      <w:lvlJc w:val="left"/>
      <w:pPr>
        <w:ind w:left="6043" w:hanging="360"/>
      </w:pPr>
      <w:rPr>
        <w:rFonts w:ascii="Courier New" w:hAnsi="Courier New" w:cs="Courier New" w:hint="default"/>
      </w:rPr>
    </w:lvl>
    <w:lvl w:ilvl="8" w:tplc="0C090005" w:tentative="1">
      <w:start w:val="1"/>
      <w:numFmt w:val="bullet"/>
      <w:lvlText w:val=""/>
      <w:lvlJc w:val="left"/>
      <w:pPr>
        <w:ind w:left="6763" w:hanging="360"/>
      </w:pPr>
      <w:rPr>
        <w:rFonts w:ascii="Wingdings" w:hAnsi="Wingdings" w:hint="default"/>
      </w:rPr>
    </w:lvl>
  </w:abstractNum>
  <w:abstractNum w:abstractNumId="21">
    <w:nsid w:val="68D46101"/>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9"/>
  </w:num>
  <w:num w:numId="2">
    <w:abstractNumId w:val="12"/>
  </w:num>
  <w:num w:numId="3">
    <w:abstractNumId w:val="11"/>
  </w:num>
  <w:num w:numId="4">
    <w:abstractNumId w:val="21"/>
  </w:num>
  <w:num w:numId="5">
    <w:abstractNumId w:val="10"/>
  </w:num>
  <w:num w:numId="6">
    <w:abstractNumId w:val="16"/>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0"/>
  </w:num>
  <w:num w:numId="18">
    <w:abstractNumId w:val="17"/>
  </w:num>
  <w:num w:numId="19">
    <w:abstractNumId w:val="12"/>
    <w:lvlOverride w:ilvl="0">
      <w:startOverride w:val="1"/>
    </w:lvlOverride>
  </w:num>
  <w:num w:numId="20">
    <w:abstractNumId w:val="18"/>
  </w:num>
  <w:num w:numId="21">
    <w:abstractNumId w:val="15"/>
  </w:num>
  <w:num w:numId="22">
    <w:abstractNumId w:val="14"/>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9701" w:allStyles="1" w:customStyles="0" w:latentStyles="0" w:stylesInUse="0" w:headingStyles="0" w:numberingStyles="0" w:tableStyles="0" w:directFormattingOnRuns="1" w:directFormattingOnParagraphs="1" w:directFormattingOnNumbering="1" w:directFormattingOnTables="0" w:clearFormatting="1" w:top3HeadingStyles="0" w:visibleStyles="0" w:alternateStyleNames="1"/>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urrentname" w:val="\\SCBRFS001\home$\jbear\Letters\Wheat ports code - Draft submission from ACCC to Department of Agriculture RIS - 20130624.docx"/>
  </w:docVars>
  <w:rsids>
    <w:rsidRoot w:val="00053545"/>
    <w:rsid w:val="00021202"/>
    <w:rsid w:val="00027714"/>
    <w:rsid w:val="00053545"/>
    <w:rsid w:val="00095A04"/>
    <w:rsid w:val="00097DF2"/>
    <w:rsid w:val="000A3713"/>
    <w:rsid w:val="000C32E8"/>
    <w:rsid w:val="000E1819"/>
    <w:rsid w:val="000E6C72"/>
    <w:rsid w:val="00124609"/>
    <w:rsid w:val="001573E4"/>
    <w:rsid w:val="00157495"/>
    <w:rsid w:val="001935F7"/>
    <w:rsid w:val="001B05B8"/>
    <w:rsid w:val="001D49F8"/>
    <w:rsid w:val="001E4022"/>
    <w:rsid w:val="001F2DF3"/>
    <w:rsid w:val="00251745"/>
    <w:rsid w:val="00260428"/>
    <w:rsid w:val="00286874"/>
    <w:rsid w:val="002A0238"/>
    <w:rsid w:val="002A6833"/>
    <w:rsid w:val="002A7DEF"/>
    <w:rsid w:val="002C2673"/>
    <w:rsid w:val="002E003B"/>
    <w:rsid w:val="002E2009"/>
    <w:rsid w:val="00302632"/>
    <w:rsid w:val="00307F6D"/>
    <w:rsid w:val="003518B3"/>
    <w:rsid w:val="00354CB1"/>
    <w:rsid w:val="00374E13"/>
    <w:rsid w:val="00374EEA"/>
    <w:rsid w:val="003856D2"/>
    <w:rsid w:val="003929CB"/>
    <w:rsid w:val="003F018D"/>
    <w:rsid w:val="004008CC"/>
    <w:rsid w:val="00456515"/>
    <w:rsid w:val="004C104A"/>
    <w:rsid w:val="004D429B"/>
    <w:rsid w:val="004D4A5F"/>
    <w:rsid w:val="00532467"/>
    <w:rsid w:val="005348A7"/>
    <w:rsid w:val="00554A55"/>
    <w:rsid w:val="00564A4D"/>
    <w:rsid w:val="005915E1"/>
    <w:rsid w:val="005C0FFA"/>
    <w:rsid w:val="005E2741"/>
    <w:rsid w:val="005E7F7C"/>
    <w:rsid w:val="00605B7D"/>
    <w:rsid w:val="0062797F"/>
    <w:rsid w:val="00632D6D"/>
    <w:rsid w:val="00671D00"/>
    <w:rsid w:val="00693450"/>
    <w:rsid w:val="00704525"/>
    <w:rsid w:val="007303C3"/>
    <w:rsid w:val="0074606A"/>
    <w:rsid w:val="00763E5D"/>
    <w:rsid w:val="00777EE6"/>
    <w:rsid w:val="007C1C53"/>
    <w:rsid w:val="00811A7E"/>
    <w:rsid w:val="00851209"/>
    <w:rsid w:val="008542E9"/>
    <w:rsid w:val="008638AC"/>
    <w:rsid w:val="008721F5"/>
    <w:rsid w:val="008B7330"/>
    <w:rsid w:val="008E7031"/>
    <w:rsid w:val="00970A60"/>
    <w:rsid w:val="009720D0"/>
    <w:rsid w:val="009930B4"/>
    <w:rsid w:val="009A3ABA"/>
    <w:rsid w:val="009C59A0"/>
    <w:rsid w:val="00A258D4"/>
    <w:rsid w:val="00A60A26"/>
    <w:rsid w:val="00AD4C53"/>
    <w:rsid w:val="00AD75F0"/>
    <w:rsid w:val="00AF502A"/>
    <w:rsid w:val="00B05ACE"/>
    <w:rsid w:val="00B408C1"/>
    <w:rsid w:val="00B64F2B"/>
    <w:rsid w:val="00BD3446"/>
    <w:rsid w:val="00BE1F1B"/>
    <w:rsid w:val="00C538A9"/>
    <w:rsid w:val="00C722A7"/>
    <w:rsid w:val="00C86679"/>
    <w:rsid w:val="00C911A5"/>
    <w:rsid w:val="00C93E2C"/>
    <w:rsid w:val="00D44811"/>
    <w:rsid w:val="00D61A54"/>
    <w:rsid w:val="00D6569C"/>
    <w:rsid w:val="00D74DEE"/>
    <w:rsid w:val="00DA0F8D"/>
    <w:rsid w:val="00DB0F93"/>
    <w:rsid w:val="00E23581"/>
    <w:rsid w:val="00E25B8C"/>
    <w:rsid w:val="00E52F9C"/>
    <w:rsid w:val="00E53128"/>
    <w:rsid w:val="00E608BF"/>
    <w:rsid w:val="00E7624D"/>
    <w:rsid w:val="00E867E9"/>
    <w:rsid w:val="00EA3D42"/>
    <w:rsid w:val="00EA6B1B"/>
    <w:rsid w:val="00EC363E"/>
    <w:rsid w:val="00EE3A55"/>
    <w:rsid w:val="00F13646"/>
    <w:rsid w:val="00F459E4"/>
    <w:rsid w:val="00F64C7B"/>
    <w:rsid w:val="00FE0BE1"/>
    <w:rsid w:val="00FE1579"/>
    <w:rsid w:val="00FE1DE9"/>
    <w:rsid w:val="00FE582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0" w:unhideWhenUsed="0" w:qFormat="1"/>
    <w:lsdException w:name="Default Paragraph Font" w:uiPriority="1"/>
    <w:lsdException w:name="Subtitle" w:semiHidden="0" w:uiPriority="11" w:unhideWhenUsed="0"/>
    <w:lsdException w:name="Hyperlink"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53545"/>
    <w:pPr>
      <w:spacing w:after="0" w:line="280" w:lineRule="exact"/>
    </w:pPr>
    <w:rPr>
      <w:rFonts w:ascii="Arial" w:eastAsia="Times New Roman" w:hAnsi="Arial" w:cs="Times New Roman"/>
      <w:szCs w:val="24"/>
      <w:lang w:eastAsia="en-AU"/>
    </w:rPr>
  </w:style>
  <w:style w:type="paragraph" w:styleId="Heading1">
    <w:name w:val="heading 1"/>
    <w:basedOn w:val="Normal"/>
    <w:next w:val="Normal"/>
    <w:link w:val="Heading1Char"/>
    <w:uiPriority w:val="9"/>
    <w:qFormat/>
    <w:rsid w:val="00F64C7B"/>
    <w:pPr>
      <w:keepNext/>
      <w:keepLines/>
      <w:spacing w:before="420" w:line="240" w:lineRule="auto"/>
      <w:outlineLvl w:val="0"/>
    </w:pPr>
    <w:rPr>
      <w:rFonts w:ascii="Lucida Fax" w:eastAsiaTheme="majorEastAsia" w:hAnsi="Lucida Fax" w:cstheme="majorBidi"/>
      <w:bCs/>
      <w:color w:val="51626F"/>
      <w:sz w:val="32"/>
      <w:szCs w:val="28"/>
      <w:lang w:eastAsia="en-US"/>
    </w:rPr>
  </w:style>
  <w:style w:type="paragraph" w:styleId="Heading2">
    <w:name w:val="heading 2"/>
    <w:basedOn w:val="Normal"/>
    <w:next w:val="Normal"/>
    <w:link w:val="Heading2Char"/>
    <w:uiPriority w:val="9"/>
    <w:unhideWhenUsed/>
    <w:qFormat/>
    <w:rsid w:val="00F64C7B"/>
    <w:pPr>
      <w:keepNext/>
      <w:keepLines/>
      <w:spacing w:before="420" w:line="240" w:lineRule="auto"/>
      <w:outlineLvl w:val="1"/>
    </w:pPr>
    <w:rPr>
      <w:rFonts w:eastAsiaTheme="majorEastAsia" w:cstheme="majorBidi"/>
      <w:b/>
      <w:bCs/>
      <w:color w:val="51626F"/>
      <w:sz w:val="28"/>
      <w:szCs w:val="26"/>
      <w:lang w:eastAsia="en-US"/>
    </w:rPr>
  </w:style>
  <w:style w:type="paragraph" w:styleId="Heading3">
    <w:name w:val="heading 3"/>
    <w:basedOn w:val="Normal"/>
    <w:next w:val="Normal"/>
    <w:link w:val="Heading3Char"/>
    <w:uiPriority w:val="9"/>
    <w:unhideWhenUsed/>
    <w:qFormat/>
    <w:rsid w:val="00F64C7B"/>
    <w:pPr>
      <w:keepNext/>
      <w:keepLines/>
      <w:spacing w:before="200" w:line="240" w:lineRule="auto"/>
      <w:outlineLvl w:val="2"/>
    </w:pPr>
    <w:rPr>
      <w:rFonts w:eastAsiaTheme="majorEastAsia" w:cstheme="majorBidi"/>
      <w:b/>
      <w:bCs/>
      <w:sz w:val="24"/>
      <w:szCs w:val="22"/>
      <w:lang w:eastAsia="en-US"/>
    </w:rPr>
  </w:style>
  <w:style w:type="paragraph" w:styleId="Heading4">
    <w:name w:val="heading 4"/>
    <w:basedOn w:val="Normal"/>
    <w:next w:val="Normal"/>
    <w:link w:val="Heading4Char"/>
    <w:uiPriority w:val="9"/>
    <w:unhideWhenUsed/>
    <w:qFormat/>
    <w:rsid w:val="00F64C7B"/>
    <w:pPr>
      <w:keepNext/>
      <w:keepLines/>
      <w:spacing w:before="200" w:line="240" w:lineRule="auto"/>
      <w:outlineLvl w:val="3"/>
    </w:pPr>
    <w:rPr>
      <w:rFonts w:eastAsiaTheme="majorEastAsia" w:cstheme="majorBidi"/>
      <w:b/>
      <w:bCs/>
      <w:i/>
      <w:iCs/>
      <w:color w:val="51626F"/>
      <w:sz w:val="24"/>
      <w:szCs w:val="22"/>
      <w:lang w:eastAsia="en-US"/>
    </w:rPr>
  </w:style>
  <w:style w:type="paragraph" w:styleId="Heading5">
    <w:name w:val="heading 5"/>
    <w:basedOn w:val="Normal"/>
    <w:next w:val="Normal"/>
    <w:link w:val="Heading5Char"/>
    <w:uiPriority w:val="9"/>
    <w:unhideWhenUsed/>
    <w:qFormat/>
    <w:rsid w:val="003F018D"/>
    <w:pPr>
      <w:keepNext/>
      <w:keepLines/>
      <w:spacing w:before="320" w:after="60" w:line="240" w:lineRule="auto"/>
      <w:outlineLvl w:val="4"/>
    </w:pPr>
    <w:rPr>
      <w:rFonts w:eastAsiaTheme="majorEastAsia" w:cstheme="majorBidi"/>
      <w:b/>
      <w:szCs w:val="22"/>
      <w:lang w:eastAsia="en-US"/>
    </w:rPr>
  </w:style>
  <w:style w:type="paragraph" w:styleId="Heading6">
    <w:name w:val="heading 6"/>
    <w:basedOn w:val="Normal"/>
    <w:next w:val="Normal"/>
    <w:link w:val="Heading6Char"/>
    <w:uiPriority w:val="9"/>
    <w:unhideWhenUsed/>
    <w:rsid w:val="00564A4D"/>
    <w:pPr>
      <w:keepNext/>
      <w:keepLines/>
      <w:spacing w:before="200" w:line="240" w:lineRule="auto"/>
      <w:outlineLvl w:val="5"/>
    </w:pPr>
    <w:rPr>
      <w:rFonts w:eastAsiaTheme="majorEastAsia" w:cstheme="majorBidi"/>
      <w:i/>
      <w:iCs/>
      <w:sz w:val="20"/>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4C7B"/>
    <w:rPr>
      <w:rFonts w:ascii="Lucida Fax" w:eastAsiaTheme="majorEastAsia" w:hAnsi="Lucida Fax" w:cstheme="majorBidi"/>
      <w:bCs/>
      <w:color w:val="51626F"/>
      <w:sz w:val="32"/>
      <w:szCs w:val="28"/>
    </w:rPr>
  </w:style>
  <w:style w:type="character" w:customStyle="1" w:styleId="Heading2Char">
    <w:name w:val="Heading 2 Char"/>
    <w:basedOn w:val="DefaultParagraphFont"/>
    <w:link w:val="Heading2"/>
    <w:uiPriority w:val="9"/>
    <w:rsid w:val="00F64C7B"/>
    <w:rPr>
      <w:rFonts w:ascii="Arial" w:eastAsiaTheme="majorEastAsia" w:hAnsi="Arial" w:cstheme="majorBidi"/>
      <w:b/>
      <w:bCs/>
      <w:color w:val="51626F"/>
      <w:sz w:val="28"/>
      <w:szCs w:val="26"/>
    </w:rPr>
  </w:style>
  <w:style w:type="character" w:customStyle="1" w:styleId="Heading3Char">
    <w:name w:val="Heading 3 Char"/>
    <w:basedOn w:val="DefaultParagraphFont"/>
    <w:link w:val="Heading3"/>
    <w:uiPriority w:val="9"/>
    <w:rsid w:val="00F64C7B"/>
    <w:rPr>
      <w:rFonts w:ascii="Arial" w:eastAsiaTheme="majorEastAsia" w:hAnsi="Arial" w:cstheme="majorBidi"/>
      <w:b/>
      <w:bCs/>
      <w:sz w:val="24"/>
    </w:rPr>
  </w:style>
  <w:style w:type="character" w:customStyle="1" w:styleId="Heading4Char">
    <w:name w:val="Heading 4 Char"/>
    <w:basedOn w:val="DefaultParagraphFont"/>
    <w:link w:val="Heading4"/>
    <w:uiPriority w:val="9"/>
    <w:rsid w:val="00F64C7B"/>
    <w:rPr>
      <w:rFonts w:ascii="Arial" w:eastAsiaTheme="majorEastAsia" w:hAnsi="Arial" w:cstheme="majorBidi"/>
      <w:b/>
      <w:bCs/>
      <w:i/>
      <w:iCs/>
      <w:color w:val="51626F"/>
      <w:sz w:val="24"/>
    </w:rPr>
  </w:style>
  <w:style w:type="character" w:customStyle="1" w:styleId="Heading5Char">
    <w:name w:val="Heading 5 Char"/>
    <w:basedOn w:val="DefaultParagraphFont"/>
    <w:link w:val="Heading5"/>
    <w:uiPriority w:val="9"/>
    <w:rsid w:val="003F018D"/>
    <w:rPr>
      <w:rFonts w:ascii="Arial" w:eastAsiaTheme="majorEastAsia" w:hAnsi="Arial" w:cstheme="majorBidi"/>
      <w:b/>
    </w:rPr>
  </w:style>
  <w:style w:type="character" w:customStyle="1" w:styleId="Heading6Char">
    <w:name w:val="Heading 6 Char"/>
    <w:basedOn w:val="DefaultParagraphFont"/>
    <w:link w:val="Heading6"/>
    <w:uiPriority w:val="9"/>
    <w:rsid w:val="00564A4D"/>
    <w:rPr>
      <w:rFonts w:ascii="Arial" w:eastAsiaTheme="majorEastAsia" w:hAnsi="Arial" w:cstheme="majorBidi"/>
      <w:i/>
      <w:iCs/>
      <w:sz w:val="20"/>
    </w:rPr>
  </w:style>
  <w:style w:type="paragraph" w:customStyle="1" w:styleId="Reporttitle">
    <w:name w:val="Report title"/>
    <w:basedOn w:val="Normal"/>
    <w:link w:val="ReporttitleChar"/>
    <w:qFormat/>
    <w:rsid w:val="00532467"/>
    <w:pPr>
      <w:spacing w:before="520" w:line="240" w:lineRule="auto"/>
    </w:pPr>
    <w:rPr>
      <w:rFonts w:ascii="Lucida Fax" w:eastAsiaTheme="minorHAnsi" w:hAnsi="Lucida Fax" w:cstheme="minorBidi"/>
      <w:b/>
      <w:color w:val="4F2D7F"/>
      <w:sz w:val="56"/>
      <w:szCs w:val="56"/>
      <w:lang w:eastAsia="en-US"/>
    </w:rPr>
  </w:style>
  <w:style w:type="character" w:customStyle="1" w:styleId="ReporttitleChar">
    <w:name w:val="Report title Char"/>
    <w:basedOn w:val="DefaultParagraphFont"/>
    <w:link w:val="Reporttitle"/>
    <w:rsid w:val="00532467"/>
    <w:rPr>
      <w:rFonts w:ascii="Lucida Fax" w:hAnsi="Lucida Fax"/>
      <w:b/>
      <w:color w:val="4F2D7F"/>
      <w:sz w:val="56"/>
      <w:szCs w:val="56"/>
    </w:rPr>
  </w:style>
  <w:style w:type="paragraph" w:customStyle="1" w:styleId="Chaptertitle">
    <w:name w:val="Chapter title"/>
    <w:basedOn w:val="Reporttitle"/>
    <w:link w:val="ChaptertitleChar"/>
    <w:qFormat/>
    <w:rsid w:val="00532467"/>
    <w:rPr>
      <w:b w:val="0"/>
      <w:sz w:val="52"/>
      <w:szCs w:val="52"/>
    </w:rPr>
  </w:style>
  <w:style w:type="character" w:customStyle="1" w:styleId="ChaptertitleChar">
    <w:name w:val="Chapter title Char"/>
    <w:basedOn w:val="ReporttitleChar"/>
    <w:link w:val="Chaptertitle"/>
    <w:rsid w:val="00532467"/>
    <w:rPr>
      <w:rFonts w:ascii="Lucida Fax" w:hAnsi="Lucida Fax"/>
      <w:b w:val="0"/>
      <w:color w:val="4F2D7F"/>
      <w:sz w:val="52"/>
      <w:szCs w:val="52"/>
    </w:rPr>
  </w:style>
  <w:style w:type="paragraph" w:customStyle="1" w:styleId="Numberedlist">
    <w:name w:val="Numbered list"/>
    <w:basedOn w:val="ListNumber"/>
    <w:qFormat/>
    <w:rsid w:val="00EA3D42"/>
    <w:pPr>
      <w:ind w:left="357" w:hanging="357"/>
    </w:pPr>
  </w:style>
  <w:style w:type="paragraph" w:customStyle="1" w:styleId="Numberedlist2">
    <w:name w:val="Numbered list 2"/>
    <w:basedOn w:val="ListNumber2"/>
    <w:qFormat/>
    <w:rsid w:val="00EA3D42"/>
    <w:pPr>
      <w:numPr>
        <w:numId w:val="18"/>
      </w:numPr>
    </w:pPr>
  </w:style>
  <w:style w:type="paragraph" w:customStyle="1" w:styleId="Copyrighttext">
    <w:name w:val="Copyright text"/>
    <w:basedOn w:val="Normal"/>
    <w:link w:val="CopyrighttextChar"/>
    <w:qFormat/>
    <w:rsid w:val="00EA3D42"/>
    <w:pPr>
      <w:spacing w:before="120" w:line="240" w:lineRule="auto"/>
      <w:ind w:left="1225"/>
      <w:contextualSpacing/>
    </w:pPr>
    <w:rPr>
      <w:rFonts w:eastAsiaTheme="minorHAnsi" w:cstheme="minorBidi"/>
      <w:sz w:val="16"/>
      <w:szCs w:val="16"/>
      <w:lang w:eastAsia="en-US"/>
    </w:rPr>
  </w:style>
  <w:style w:type="character" w:customStyle="1" w:styleId="CopyrighttextChar">
    <w:name w:val="Copyright text Char"/>
    <w:basedOn w:val="DefaultParagraphFont"/>
    <w:link w:val="Copyrighttext"/>
    <w:rsid w:val="00EA3D42"/>
    <w:rPr>
      <w:rFonts w:ascii="Arial" w:hAnsi="Arial"/>
      <w:sz w:val="16"/>
      <w:szCs w:val="16"/>
    </w:rPr>
  </w:style>
  <w:style w:type="paragraph" w:customStyle="1" w:styleId="TableofcontentsTOCheading">
    <w:name w:val="Table of contents (TOC) heading"/>
    <w:basedOn w:val="Normal"/>
    <w:link w:val="TableofcontentsTOCheadingChar"/>
    <w:qFormat/>
    <w:rsid w:val="00EA3D42"/>
    <w:pPr>
      <w:spacing w:before="240" w:after="120" w:line="240" w:lineRule="auto"/>
      <w:ind w:left="1225"/>
      <w:contextualSpacing/>
    </w:pPr>
    <w:rPr>
      <w:rFonts w:eastAsiaTheme="minorHAnsi" w:cstheme="minorBidi"/>
      <w:b/>
      <w:sz w:val="20"/>
      <w:szCs w:val="20"/>
      <w:lang w:eastAsia="en-US"/>
    </w:rPr>
  </w:style>
  <w:style w:type="character" w:customStyle="1" w:styleId="TableofcontentsTOCheadingChar">
    <w:name w:val="Table of contents (TOC) heading Char"/>
    <w:basedOn w:val="DefaultParagraphFont"/>
    <w:link w:val="TableofcontentsTOCheading"/>
    <w:rsid w:val="00EA3D42"/>
    <w:rPr>
      <w:rFonts w:ascii="Arial" w:hAnsi="Arial"/>
      <w:b/>
      <w:sz w:val="20"/>
      <w:szCs w:val="20"/>
    </w:rPr>
  </w:style>
  <w:style w:type="paragraph" w:customStyle="1" w:styleId="Tableofcontentstext">
    <w:name w:val="Table of contents text"/>
    <w:basedOn w:val="Normal"/>
    <w:link w:val="TableofcontentstextChar"/>
    <w:qFormat/>
    <w:rsid w:val="00EA3D42"/>
    <w:pPr>
      <w:spacing w:before="120" w:line="240" w:lineRule="auto"/>
      <w:ind w:left="1225"/>
      <w:contextualSpacing/>
    </w:pPr>
    <w:rPr>
      <w:rFonts w:eastAsiaTheme="minorHAnsi" w:cstheme="minorBidi"/>
      <w:sz w:val="20"/>
      <w:szCs w:val="20"/>
      <w:lang w:eastAsia="en-US"/>
    </w:rPr>
  </w:style>
  <w:style w:type="character" w:customStyle="1" w:styleId="TableofcontentstextChar">
    <w:name w:val="Table of contents text Char"/>
    <w:basedOn w:val="DefaultParagraphFont"/>
    <w:link w:val="Tableofcontentstext"/>
    <w:rsid w:val="00EA3D42"/>
    <w:rPr>
      <w:rFonts w:ascii="Arial" w:hAnsi="Arial"/>
      <w:sz w:val="20"/>
      <w:szCs w:val="20"/>
    </w:rPr>
  </w:style>
  <w:style w:type="paragraph" w:customStyle="1" w:styleId="Headingnumbered1">
    <w:name w:val="Heading numbered 1."/>
    <w:basedOn w:val="Normal"/>
    <w:link w:val="Headingnumbered1Char"/>
    <w:qFormat/>
    <w:rsid w:val="00021202"/>
    <w:pPr>
      <w:numPr>
        <w:numId w:val="2"/>
      </w:numPr>
      <w:spacing w:before="520" w:line="240" w:lineRule="auto"/>
      <w:contextualSpacing/>
      <w:outlineLvl w:val="1"/>
    </w:pPr>
    <w:rPr>
      <w:rFonts w:ascii="Lucida Fax" w:eastAsiaTheme="minorHAnsi" w:hAnsi="Lucida Fax" w:cstheme="minorBidi"/>
      <w:color w:val="51626F"/>
      <w:sz w:val="32"/>
      <w:szCs w:val="32"/>
      <w:lang w:eastAsia="en-US"/>
    </w:rPr>
  </w:style>
  <w:style w:type="character" w:customStyle="1" w:styleId="Headingnumbered1Char">
    <w:name w:val="Heading numbered 1. Char"/>
    <w:basedOn w:val="DefaultParagraphFont"/>
    <w:link w:val="Headingnumbered1"/>
    <w:rsid w:val="00021202"/>
    <w:rPr>
      <w:rFonts w:ascii="Lucida Fax" w:hAnsi="Lucida Fax"/>
      <w:color w:val="51626F"/>
      <w:sz w:val="32"/>
      <w:szCs w:val="32"/>
    </w:rPr>
  </w:style>
  <w:style w:type="paragraph" w:customStyle="1" w:styleId="Headingnumbered11">
    <w:name w:val="Heading numbered 1.1"/>
    <w:basedOn w:val="Normal"/>
    <w:link w:val="Headingnumbered11Char"/>
    <w:qFormat/>
    <w:rsid w:val="00021202"/>
    <w:pPr>
      <w:numPr>
        <w:ilvl w:val="1"/>
        <w:numId w:val="5"/>
      </w:numPr>
      <w:spacing w:before="520" w:line="240" w:lineRule="auto"/>
      <w:ind w:left="958" w:hanging="958"/>
      <w:contextualSpacing/>
      <w:outlineLvl w:val="2"/>
    </w:pPr>
    <w:rPr>
      <w:rFonts w:eastAsiaTheme="minorHAnsi" w:cstheme="minorBidi"/>
      <w:b/>
      <w:color w:val="51626F"/>
      <w:sz w:val="28"/>
      <w:lang w:eastAsia="en-US"/>
    </w:rPr>
  </w:style>
  <w:style w:type="character" w:customStyle="1" w:styleId="Headingnumbered11Char">
    <w:name w:val="Heading numbered 1.1 Char"/>
    <w:basedOn w:val="DefaultParagraphFont"/>
    <w:link w:val="Headingnumbered11"/>
    <w:rsid w:val="00021202"/>
    <w:rPr>
      <w:rFonts w:ascii="Arial" w:hAnsi="Arial"/>
      <w:b/>
      <w:color w:val="51626F"/>
      <w:sz w:val="28"/>
      <w:szCs w:val="24"/>
    </w:rPr>
  </w:style>
  <w:style w:type="paragraph" w:customStyle="1" w:styleId="Headingnumbered111">
    <w:name w:val="Heading numbered 1.1.1"/>
    <w:basedOn w:val="Normal"/>
    <w:link w:val="Headingnumbered111Char"/>
    <w:qFormat/>
    <w:rsid w:val="00021202"/>
    <w:pPr>
      <w:numPr>
        <w:ilvl w:val="2"/>
        <w:numId w:val="6"/>
      </w:numPr>
      <w:spacing w:before="240" w:after="240" w:line="240" w:lineRule="auto"/>
      <w:ind w:left="958" w:hanging="958"/>
      <w:contextualSpacing/>
      <w:outlineLvl w:val="3"/>
    </w:pPr>
    <w:rPr>
      <w:rFonts w:eastAsiaTheme="minorHAnsi" w:cstheme="minorBidi"/>
      <w:sz w:val="24"/>
      <w:lang w:eastAsia="en-US"/>
    </w:rPr>
  </w:style>
  <w:style w:type="character" w:customStyle="1" w:styleId="Headingnumbered111Char">
    <w:name w:val="Heading numbered 1.1.1 Char"/>
    <w:basedOn w:val="DefaultParagraphFont"/>
    <w:link w:val="Headingnumbered111"/>
    <w:rsid w:val="00021202"/>
    <w:rPr>
      <w:rFonts w:ascii="Arial" w:hAnsi="Arial"/>
      <w:sz w:val="24"/>
      <w:szCs w:val="24"/>
    </w:rPr>
  </w:style>
  <w:style w:type="paragraph" w:customStyle="1" w:styleId="Tableheadingtext">
    <w:name w:val="Table heading text"/>
    <w:basedOn w:val="Normal"/>
    <w:link w:val="TableheadingtextChar"/>
    <w:qFormat/>
    <w:rsid w:val="00EA3D42"/>
    <w:pPr>
      <w:spacing w:before="240" w:after="240" w:line="240" w:lineRule="auto"/>
      <w:contextualSpacing/>
    </w:pPr>
    <w:rPr>
      <w:rFonts w:eastAsiaTheme="minorHAnsi" w:cstheme="minorBidi"/>
      <w:b/>
      <w:sz w:val="20"/>
      <w:szCs w:val="20"/>
      <w:lang w:eastAsia="en-US"/>
    </w:rPr>
  </w:style>
  <w:style w:type="character" w:customStyle="1" w:styleId="TableheadingtextChar">
    <w:name w:val="Table heading text Char"/>
    <w:basedOn w:val="DefaultParagraphFont"/>
    <w:link w:val="Tableheadingtext"/>
    <w:rsid w:val="00EA3D42"/>
    <w:rPr>
      <w:rFonts w:ascii="Arial" w:hAnsi="Arial"/>
      <w:b/>
      <w:sz w:val="20"/>
      <w:szCs w:val="20"/>
    </w:rPr>
  </w:style>
  <w:style w:type="paragraph" w:customStyle="1" w:styleId="Tablebodytext">
    <w:name w:val="Table body text"/>
    <w:basedOn w:val="Normal"/>
    <w:link w:val="TablebodytextChar"/>
    <w:qFormat/>
    <w:rsid w:val="00EA3D42"/>
    <w:pPr>
      <w:spacing w:before="120" w:line="240" w:lineRule="auto"/>
      <w:ind w:left="1225"/>
      <w:contextualSpacing/>
    </w:pPr>
    <w:rPr>
      <w:rFonts w:eastAsiaTheme="minorHAnsi" w:cstheme="minorBidi"/>
      <w:sz w:val="20"/>
      <w:szCs w:val="22"/>
      <w:lang w:eastAsia="en-US"/>
    </w:rPr>
  </w:style>
  <w:style w:type="character" w:customStyle="1" w:styleId="TablebodytextChar">
    <w:name w:val="Table body text Char"/>
    <w:basedOn w:val="DefaultParagraphFont"/>
    <w:link w:val="Tablebodytext"/>
    <w:rsid w:val="00EA3D42"/>
    <w:rPr>
      <w:rFonts w:ascii="Arial" w:hAnsi="Arial"/>
      <w:sz w:val="20"/>
    </w:rPr>
  </w:style>
  <w:style w:type="paragraph" w:customStyle="1" w:styleId="Chartheading">
    <w:name w:val="Chart heading"/>
    <w:basedOn w:val="Normal"/>
    <w:link w:val="ChartheadingChar"/>
    <w:qFormat/>
    <w:rsid w:val="00EA3D42"/>
    <w:pPr>
      <w:spacing w:before="240" w:after="240" w:line="240" w:lineRule="auto"/>
      <w:contextualSpacing/>
    </w:pPr>
    <w:rPr>
      <w:rFonts w:eastAsiaTheme="minorHAnsi" w:cstheme="minorBidi"/>
      <w:b/>
      <w:sz w:val="20"/>
      <w:szCs w:val="20"/>
      <w:lang w:eastAsia="en-US"/>
    </w:rPr>
  </w:style>
  <w:style w:type="character" w:customStyle="1" w:styleId="ChartheadingChar">
    <w:name w:val="Chart heading Char"/>
    <w:basedOn w:val="DefaultParagraphFont"/>
    <w:link w:val="Chartheading"/>
    <w:rsid w:val="00EA3D42"/>
    <w:rPr>
      <w:rFonts w:ascii="Arial" w:hAnsi="Arial"/>
      <w:b/>
      <w:sz w:val="20"/>
      <w:szCs w:val="20"/>
    </w:rPr>
  </w:style>
  <w:style w:type="paragraph" w:customStyle="1" w:styleId="Boxedtextheading">
    <w:name w:val="Boxed text heading"/>
    <w:basedOn w:val="Normal"/>
    <w:link w:val="BoxedtextheadingChar"/>
    <w:qFormat/>
    <w:rsid w:val="00BE1F1B"/>
    <w:pPr>
      <w:pBdr>
        <w:top w:val="single" w:sz="4" w:space="4" w:color="auto"/>
        <w:left w:val="single" w:sz="4" w:space="4" w:color="auto"/>
        <w:bottom w:val="single" w:sz="4" w:space="4" w:color="auto"/>
        <w:right w:val="single" w:sz="4" w:space="4" w:color="auto"/>
      </w:pBdr>
      <w:spacing w:before="240" w:after="240" w:line="240" w:lineRule="auto"/>
      <w:contextualSpacing/>
    </w:pPr>
    <w:rPr>
      <w:rFonts w:eastAsiaTheme="minorHAnsi" w:cstheme="minorBidi"/>
      <w:b/>
      <w:sz w:val="20"/>
      <w:szCs w:val="20"/>
      <w:lang w:eastAsia="en-US"/>
    </w:rPr>
  </w:style>
  <w:style w:type="character" w:customStyle="1" w:styleId="BoxedtextheadingChar">
    <w:name w:val="Boxed text heading Char"/>
    <w:basedOn w:val="DefaultParagraphFont"/>
    <w:link w:val="Boxedtextheading"/>
    <w:rsid w:val="00BE1F1B"/>
    <w:rPr>
      <w:rFonts w:ascii="Arial" w:hAnsi="Arial"/>
      <w:b/>
      <w:sz w:val="20"/>
      <w:szCs w:val="20"/>
    </w:rPr>
  </w:style>
  <w:style w:type="paragraph" w:customStyle="1" w:styleId="Boxedtext">
    <w:name w:val="Boxed text"/>
    <w:basedOn w:val="Normal"/>
    <w:link w:val="BoxedtextChar"/>
    <w:qFormat/>
    <w:rsid w:val="00BE1F1B"/>
    <w:pPr>
      <w:pBdr>
        <w:top w:val="single" w:sz="4" w:space="4" w:color="auto"/>
        <w:left w:val="single" w:sz="4" w:space="4" w:color="auto"/>
        <w:bottom w:val="single" w:sz="4" w:space="4" w:color="auto"/>
        <w:right w:val="single" w:sz="4" w:space="4" w:color="auto"/>
      </w:pBdr>
      <w:spacing w:before="120" w:line="240" w:lineRule="auto"/>
      <w:contextualSpacing/>
    </w:pPr>
    <w:rPr>
      <w:rFonts w:eastAsiaTheme="minorHAnsi" w:cstheme="minorBidi"/>
      <w:sz w:val="20"/>
      <w:szCs w:val="20"/>
      <w:lang w:eastAsia="en-US"/>
    </w:rPr>
  </w:style>
  <w:style w:type="character" w:customStyle="1" w:styleId="BoxedtextChar">
    <w:name w:val="Boxed text Char"/>
    <w:basedOn w:val="DefaultParagraphFont"/>
    <w:link w:val="Boxedtext"/>
    <w:rsid w:val="00BE1F1B"/>
    <w:rPr>
      <w:rFonts w:ascii="Arial" w:hAnsi="Arial"/>
      <w:sz w:val="20"/>
      <w:szCs w:val="20"/>
    </w:rPr>
  </w:style>
  <w:style w:type="paragraph" w:customStyle="1" w:styleId="Pullquoteheading">
    <w:name w:val="Pull quote heading"/>
    <w:basedOn w:val="Normal"/>
    <w:link w:val="PullquoteheadingChar"/>
    <w:qFormat/>
    <w:rsid w:val="00EA3D42"/>
    <w:pPr>
      <w:spacing w:before="120" w:after="120" w:line="240" w:lineRule="auto"/>
      <w:contextualSpacing/>
    </w:pPr>
    <w:rPr>
      <w:rFonts w:ascii="Lucida Fax" w:eastAsiaTheme="minorHAnsi" w:hAnsi="Lucida Fax" w:cstheme="minorBidi"/>
      <w:b/>
      <w:color w:val="DC5034"/>
      <w:sz w:val="24"/>
      <w:lang w:eastAsia="en-US"/>
    </w:rPr>
  </w:style>
  <w:style w:type="character" w:customStyle="1" w:styleId="PullquoteheadingChar">
    <w:name w:val="Pull quote heading Char"/>
    <w:basedOn w:val="DefaultParagraphFont"/>
    <w:link w:val="Pullquoteheading"/>
    <w:rsid w:val="00EA3D42"/>
    <w:rPr>
      <w:rFonts w:ascii="Lucida Fax" w:hAnsi="Lucida Fax"/>
      <w:b/>
      <w:color w:val="DC5034"/>
      <w:sz w:val="24"/>
      <w:szCs w:val="24"/>
    </w:rPr>
  </w:style>
  <w:style w:type="paragraph" w:customStyle="1" w:styleId="Pullquotetext">
    <w:name w:val="Pull quote text"/>
    <w:basedOn w:val="Pullquoteheading"/>
    <w:link w:val="PullquotetextChar"/>
    <w:qFormat/>
    <w:rsid w:val="007C1C53"/>
    <w:rPr>
      <w:b w:val="0"/>
    </w:rPr>
  </w:style>
  <w:style w:type="character" w:customStyle="1" w:styleId="PullquotetextChar">
    <w:name w:val="Pull quote text Char"/>
    <w:basedOn w:val="PullquoteheadingChar"/>
    <w:link w:val="Pullquotetext"/>
    <w:rsid w:val="007C1C53"/>
    <w:rPr>
      <w:rFonts w:ascii="Lucida Fax" w:hAnsi="Lucida Fax"/>
      <w:b w:val="0"/>
      <w:color w:val="DC5034"/>
      <w:sz w:val="24"/>
      <w:szCs w:val="24"/>
    </w:rPr>
  </w:style>
  <w:style w:type="paragraph" w:customStyle="1" w:styleId="Note">
    <w:name w:val="Note"/>
    <w:basedOn w:val="Normal"/>
    <w:link w:val="NoteChar"/>
    <w:qFormat/>
    <w:rsid w:val="00EA3D42"/>
    <w:pPr>
      <w:spacing w:before="120" w:after="120" w:line="240" w:lineRule="auto"/>
      <w:contextualSpacing/>
    </w:pPr>
    <w:rPr>
      <w:rFonts w:eastAsiaTheme="minorHAnsi" w:cstheme="minorBidi"/>
      <w:i/>
      <w:sz w:val="16"/>
      <w:szCs w:val="16"/>
      <w:lang w:eastAsia="en-US"/>
    </w:rPr>
  </w:style>
  <w:style w:type="character" w:customStyle="1" w:styleId="NoteChar">
    <w:name w:val="Note Char"/>
    <w:basedOn w:val="DefaultParagraphFont"/>
    <w:link w:val="Note"/>
    <w:rsid w:val="00EA3D42"/>
    <w:rPr>
      <w:rFonts w:ascii="Arial" w:hAnsi="Arial"/>
      <w:i/>
      <w:sz w:val="16"/>
      <w:szCs w:val="16"/>
    </w:rPr>
  </w:style>
  <w:style w:type="paragraph" w:customStyle="1" w:styleId="Source">
    <w:name w:val="Source"/>
    <w:basedOn w:val="Normal"/>
    <w:link w:val="SourceChar"/>
    <w:qFormat/>
    <w:rsid w:val="00EA3D42"/>
    <w:pPr>
      <w:spacing w:before="60" w:line="240" w:lineRule="auto"/>
      <w:contextualSpacing/>
    </w:pPr>
    <w:rPr>
      <w:rFonts w:eastAsiaTheme="minorHAnsi" w:cstheme="minorBidi"/>
      <w:sz w:val="16"/>
      <w:szCs w:val="16"/>
      <w:lang w:eastAsia="en-US"/>
    </w:rPr>
  </w:style>
  <w:style w:type="character" w:customStyle="1" w:styleId="SourceChar">
    <w:name w:val="Source Char"/>
    <w:basedOn w:val="DefaultParagraphFont"/>
    <w:link w:val="Source"/>
    <w:rsid w:val="00EA3D42"/>
    <w:rPr>
      <w:rFonts w:ascii="Arial" w:hAnsi="Arial"/>
      <w:sz w:val="16"/>
      <w:szCs w:val="16"/>
    </w:rPr>
  </w:style>
  <w:style w:type="paragraph" w:customStyle="1" w:styleId="Footnotes">
    <w:name w:val="Footnotes"/>
    <w:basedOn w:val="Normal"/>
    <w:link w:val="FootnotesChar"/>
    <w:qFormat/>
    <w:rsid w:val="00EA3D42"/>
    <w:pPr>
      <w:spacing w:before="60" w:line="240" w:lineRule="auto"/>
      <w:contextualSpacing/>
    </w:pPr>
    <w:rPr>
      <w:rFonts w:eastAsiaTheme="minorHAnsi" w:cstheme="minorBidi"/>
      <w:sz w:val="16"/>
      <w:szCs w:val="16"/>
      <w:lang w:eastAsia="en-US"/>
    </w:rPr>
  </w:style>
  <w:style w:type="character" w:customStyle="1" w:styleId="FootnotesChar">
    <w:name w:val="Footnotes Char"/>
    <w:basedOn w:val="DefaultParagraphFont"/>
    <w:link w:val="Footnotes"/>
    <w:rsid w:val="00EA3D42"/>
    <w:rPr>
      <w:rFonts w:ascii="Arial" w:hAnsi="Arial"/>
      <w:sz w:val="16"/>
      <w:szCs w:val="16"/>
    </w:rPr>
  </w:style>
  <w:style w:type="paragraph" w:styleId="Quote">
    <w:name w:val="Quote"/>
    <w:basedOn w:val="Normal"/>
    <w:next w:val="Normal"/>
    <w:link w:val="QuoteChar"/>
    <w:uiPriority w:val="29"/>
    <w:qFormat/>
    <w:rsid w:val="004C104A"/>
    <w:pPr>
      <w:spacing w:before="120" w:after="240" w:line="240" w:lineRule="auto"/>
      <w:ind w:left="454" w:right="454"/>
    </w:pPr>
    <w:rPr>
      <w:rFonts w:eastAsiaTheme="minorHAnsi" w:cstheme="minorBidi"/>
      <w:iCs/>
      <w:color w:val="000000" w:themeColor="text1"/>
      <w:sz w:val="20"/>
      <w:szCs w:val="22"/>
      <w:lang w:eastAsia="en-US"/>
    </w:rPr>
  </w:style>
  <w:style w:type="character" w:customStyle="1" w:styleId="QuoteChar">
    <w:name w:val="Quote Char"/>
    <w:basedOn w:val="DefaultParagraphFont"/>
    <w:link w:val="Quote"/>
    <w:uiPriority w:val="29"/>
    <w:rsid w:val="004C104A"/>
    <w:rPr>
      <w:rFonts w:ascii="Arial" w:hAnsi="Arial"/>
      <w:iCs/>
      <w:color w:val="000000" w:themeColor="text1"/>
      <w:sz w:val="20"/>
    </w:rPr>
  </w:style>
  <w:style w:type="paragraph" w:customStyle="1" w:styleId="Charttext">
    <w:name w:val="Chart text"/>
    <w:basedOn w:val="Normal"/>
    <w:qFormat/>
    <w:rsid w:val="007C1C53"/>
    <w:pPr>
      <w:spacing w:before="120" w:after="120" w:line="240" w:lineRule="auto"/>
    </w:pPr>
    <w:rPr>
      <w:rFonts w:eastAsiaTheme="minorHAnsi" w:cstheme="minorBidi"/>
      <w:sz w:val="20"/>
      <w:szCs w:val="22"/>
      <w:lang w:eastAsia="en-US"/>
    </w:rPr>
  </w:style>
  <w:style w:type="paragraph" w:customStyle="1" w:styleId="Bulletpoint">
    <w:name w:val="Bullet point"/>
    <w:basedOn w:val="ListBullet"/>
    <w:qFormat/>
    <w:rsid w:val="001F2DF3"/>
    <w:pPr>
      <w:spacing w:after="240"/>
      <w:ind w:left="357" w:hanging="357"/>
      <w:contextualSpacing w:val="0"/>
    </w:pPr>
    <w:rPr>
      <w:rFonts w:cs="Times New Roman"/>
    </w:rPr>
  </w:style>
  <w:style w:type="paragraph" w:styleId="ListBullet">
    <w:name w:val="List Bullet"/>
    <w:basedOn w:val="Normal"/>
    <w:uiPriority w:val="99"/>
    <w:unhideWhenUsed/>
    <w:rsid w:val="00D61A54"/>
    <w:pPr>
      <w:numPr>
        <w:numId w:val="7"/>
      </w:numPr>
      <w:spacing w:before="120" w:line="240" w:lineRule="auto"/>
      <w:contextualSpacing/>
    </w:pPr>
    <w:rPr>
      <w:rFonts w:eastAsiaTheme="minorHAnsi" w:cstheme="minorBidi"/>
      <w:szCs w:val="22"/>
      <w:lang w:eastAsia="en-US"/>
    </w:rPr>
  </w:style>
  <w:style w:type="paragraph" w:customStyle="1" w:styleId="Bulletpoint2">
    <w:name w:val="Bullet point 2"/>
    <w:basedOn w:val="ListBullet2"/>
    <w:qFormat/>
    <w:rsid w:val="00EA3D42"/>
    <w:pPr>
      <w:numPr>
        <w:numId w:val="17"/>
      </w:numPr>
    </w:pPr>
  </w:style>
  <w:style w:type="paragraph" w:styleId="ListNumber">
    <w:name w:val="List Number"/>
    <w:basedOn w:val="Normal"/>
    <w:uiPriority w:val="99"/>
    <w:semiHidden/>
    <w:unhideWhenUsed/>
    <w:rsid w:val="00EA3D42"/>
    <w:pPr>
      <w:numPr>
        <w:numId w:val="12"/>
      </w:numPr>
      <w:spacing w:before="120" w:line="240" w:lineRule="auto"/>
      <w:contextualSpacing/>
    </w:pPr>
    <w:rPr>
      <w:rFonts w:eastAsiaTheme="minorHAnsi" w:cstheme="minorBidi"/>
      <w:szCs w:val="22"/>
      <w:lang w:eastAsia="en-US"/>
    </w:rPr>
  </w:style>
  <w:style w:type="paragraph" w:styleId="ListBullet2">
    <w:name w:val="List Bullet 2"/>
    <w:basedOn w:val="Normal"/>
    <w:uiPriority w:val="99"/>
    <w:semiHidden/>
    <w:unhideWhenUsed/>
    <w:rsid w:val="00EA3D42"/>
    <w:pPr>
      <w:numPr>
        <w:numId w:val="8"/>
      </w:numPr>
      <w:spacing w:before="120" w:line="240" w:lineRule="auto"/>
      <w:contextualSpacing/>
    </w:pPr>
    <w:rPr>
      <w:rFonts w:eastAsiaTheme="minorHAnsi" w:cstheme="minorBidi"/>
      <w:szCs w:val="22"/>
      <w:lang w:eastAsia="en-US"/>
    </w:rPr>
  </w:style>
  <w:style w:type="paragraph" w:styleId="TOCHeading">
    <w:name w:val="TOC Heading"/>
    <w:basedOn w:val="Heading1"/>
    <w:next w:val="Normal"/>
    <w:uiPriority w:val="39"/>
    <w:semiHidden/>
    <w:unhideWhenUsed/>
    <w:qFormat/>
    <w:rsid w:val="003518B3"/>
    <w:pPr>
      <w:spacing w:before="480" w:line="276" w:lineRule="auto"/>
      <w:outlineLvl w:val="9"/>
    </w:pPr>
    <w:rPr>
      <w:rFonts w:asciiTheme="majorHAnsi" w:hAnsiTheme="majorHAnsi"/>
      <w:b/>
      <w:color w:val="365F91" w:themeColor="accent1" w:themeShade="BF"/>
      <w:sz w:val="28"/>
      <w:lang w:val="en-US" w:eastAsia="ja-JP"/>
    </w:rPr>
  </w:style>
  <w:style w:type="paragraph" w:styleId="ListNumber2">
    <w:name w:val="List Number 2"/>
    <w:basedOn w:val="Normal"/>
    <w:uiPriority w:val="99"/>
    <w:semiHidden/>
    <w:unhideWhenUsed/>
    <w:rsid w:val="00EA3D42"/>
    <w:pPr>
      <w:numPr>
        <w:numId w:val="13"/>
      </w:numPr>
      <w:spacing w:before="120" w:line="240" w:lineRule="auto"/>
      <w:contextualSpacing/>
    </w:pPr>
    <w:rPr>
      <w:rFonts w:eastAsiaTheme="minorHAnsi" w:cstheme="minorBidi"/>
      <w:szCs w:val="22"/>
      <w:lang w:eastAsia="en-US"/>
    </w:rPr>
  </w:style>
  <w:style w:type="character" w:styleId="Hyperlink">
    <w:name w:val="Hyperlink"/>
    <w:basedOn w:val="DefaultParagraphFont"/>
    <w:uiPriority w:val="99"/>
    <w:unhideWhenUsed/>
    <w:qFormat/>
    <w:rsid w:val="00BE1F1B"/>
    <w:rPr>
      <w:rFonts w:ascii="Arial" w:hAnsi="Arial"/>
      <w:color w:val="0000FF"/>
      <w:sz w:val="22"/>
      <w:u w:val="single"/>
    </w:rPr>
  </w:style>
  <w:style w:type="paragraph" w:styleId="BalloonText">
    <w:name w:val="Balloon Text"/>
    <w:basedOn w:val="Normal"/>
    <w:link w:val="BalloonTextChar"/>
    <w:uiPriority w:val="99"/>
    <w:semiHidden/>
    <w:unhideWhenUsed/>
    <w:rsid w:val="003518B3"/>
    <w:pPr>
      <w:spacing w:line="240" w:lineRule="auto"/>
    </w:pPr>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3518B3"/>
    <w:rPr>
      <w:rFonts w:ascii="Tahoma" w:hAnsi="Tahoma" w:cs="Tahoma"/>
      <w:sz w:val="16"/>
      <w:szCs w:val="16"/>
    </w:rPr>
  </w:style>
  <w:style w:type="paragraph" w:styleId="Footer">
    <w:name w:val="footer"/>
    <w:basedOn w:val="Normal"/>
    <w:link w:val="FooterChar"/>
    <w:uiPriority w:val="99"/>
    <w:unhideWhenUsed/>
    <w:qFormat/>
    <w:rsid w:val="001573E4"/>
    <w:pPr>
      <w:tabs>
        <w:tab w:val="center" w:pos="4513"/>
        <w:tab w:val="right" w:pos="9026"/>
      </w:tabs>
      <w:spacing w:before="60" w:line="240" w:lineRule="auto"/>
    </w:pPr>
    <w:rPr>
      <w:rFonts w:eastAsiaTheme="minorHAnsi" w:cstheme="minorBidi"/>
      <w:sz w:val="16"/>
      <w:szCs w:val="22"/>
      <w:lang w:eastAsia="en-US"/>
    </w:rPr>
  </w:style>
  <w:style w:type="character" w:customStyle="1" w:styleId="FooterChar">
    <w:name w:val="Footer Char"/>
    <w:basedOn w:val="DefaultParagraphFont"/>
    <w:link w:val="Footer"/>
    <w:uiPriority w:val="99"/>
    <w:rsid w:val="001573E4"/>
    <w:rPr>
      <w:rFonts w:ascii="Arial" w:hAnsi="Arial"/>
      <w:sz w:val="16"/>
    </w:rPr>
  </w:style>
  <w:style w:type="paragraph" w:styleId="ListParagraph">
    <w:name w:val="List Paragraph"/>
    <w:basedOn w:val="Normal"/>
    <w:uiPriority w:val="34"/>
    <w:qFormat/>
    <w:rsid w:val="00A60A26"/>
    <w:pPr>
      <w:spacing w:before="120" w:line="240" w:lineRule="auto"/>
      <w:ind w:left="357"/>
      <w:contextualSpacing/>
    </w:pPr>
    <w:rPr>
      <w:rFonts w:eastAsiaTheme="minorHAnsi" w:cstheme="minorBidi"/>
      <w:szCs w:val="22"/>
      <w:lang w:eastAsia="en-US"/>
    </w:rPr>
  </w:style>
  <w:style w:type="paragraph" w:customStyle="1" w:styleId="References">
    <w:name w:val="References"/>
    <w:basedOn w:val="Normal"/>
    <w:qFormat/>
    <w:rsid w:val="00053545"/>
    <w:pPr>
      <w:tabs>
        <w:tab w:val="left" w:pos="1701"/>
      </w:tabs>
    </w:pPr>
    <w:rPr>
      <w:sz w:val="20"/>
      <w:szCs w:val="20"/>
    </w:rPr>
  </w:style>
  <w:style w:type="paragraph" w:customStyle="1" w:styleId="Body">
    <w:name w:val="Body"/>
    <w:basedOn w:val="Normal"/>
    <w:link w:val="BodyChar"/>
    <w:qFormat/>
    <w:rsid w:val="00053545"/>
    <w:pPr>
      <w:spacing w:after="240"/>
    </w:pPr>
  </w:style>
  <w:style w:type="character" w:customStyle="1" w:styleId="BodyChar">
    <w:name w:val="Body Char"/>
    <w:basedOn w:val="DefaultParagraphFont"/>
    <w:link w:val="Body"/>
    <w:rsid w:val="00053545"/>
    <w:rPr>
      <w:rFonts w:ascii="Arial" w:eastAsia="Times New Roman" w:hAnsi="Arial" w:cs="Times New Roman"/>
      <w:szCs w:val="24"/>
      <w:lang w:eastAsia="en-AU"/>
    </w:rPr>
  </w:style>
  <w:style w:type="paragraph" w:styleId="FootnoteText">
    <w:name w:val="footnote text"/>
    <w:basedOn w:val="Normal"/>
    <w:link w:val="FootnoteTextChar"/>
    <w:uiPriority w:val="99"/>
    <w:semiHidden/>
    <w:unhideWhenUsed/>
    <w:rsid w:val="00605B7D"/>
    <w:pPr>
      <w:spacing w:line="240" w:lineRule="auto"/>
      <w:ind w:left="357" w:hanging="357"/>
    </w:pPr>
    <w:rPr>
      <w:rFonts w:eastAsiaTheme="minorHAnsi" w:cs="Arial"/>
      <w:sz w:val="20"/>
      <w:szCs w:val="20"/>
      <w:lang w:eastAsia="en-US"/>
    </w:rPr>
  </w:style>
  <w:style w:type="character" w:customStyle="1" w:styleId="FootnoteTextChar">
    <w:name w:val="Footnote Text Char"/>
    <w:basedOn w:val="DefaultParagraphFont"/>
    <w:link w:val="FootnoteText"/>
    <w:uiPriority w:val="99"/>
    <w:semiHidden/>
    <w:rsid w:val="00605B7D"/>
    <w:rPr>
      <w:rFonts w:ascii="Arial" w:hAnsi="Arial" w:cs="Arial"/>
      <w:sz w:val="20"/>
      <w:szCs w:val="20"/>
    </w:rPr>
  </w:style>
  <w:style w:type="paragraph" w:customStyle="1" w:styleId="RAPMbulletlistfirststyle">
    <w:name w:val="RAPM bullet list (first style)"/>
    <w:basedOn w:val="Normal"/>
    <w:rsid w:val="00605B7D"/>
    <w:pPr>
      <w:tabs>
        <w:tab w:val="num" w:pos="360"/>
      </w:tabs>
      <w:spacing w:after="240" w:line="240" w:lineRule="atLeast"/>
    </w:pPr>
    <w:rPr>
      <w:rFonts w:eastAsiaTheme="minorHAnsi" w:cs="Arial"/>
      <w:szCs w:val="22"/>
      <w:lang w:eastAsia="en-US"/>
    </w:rPr>
  </w:style>
  <w:style w:type="character" w:styleId="FootnoteReference">
    <w:name w:val="footnote reference"/>
    <w:basedOn w:val="DefaultParagraphFont"/>
    <w:uiPriority w:val="99"/>
    <w:semiHidden/>
    <w:unhideWhenUsed/>
    <w:rsid w:val="00605B7D"/>
    <w:rPr>
      <w:vertAlign w:val="superscript"/>
    </w:rPr>
  </w:style>
  <w:style w:type="paragraph" w:styleId="Title">
    <w:name w:val="Title"/>
    <w:basedOn w:val="Normal"/>
    <w:link w:val="TitleChar"/>
    <w:qFormat/>
    <w:rsid w:val="001F2DF3"/>
    <w:pPr>
      <w:spacing w:line="240" w:lineRule="auto"/>
      <w:jc w:val="center"/>
    </w:pPr>
    <w:rPr>
      <w:rFonts w:ascii="Times New Roman" w:hAnsi="Times New Roman"/>
      <w:b/>
      <w:sz w:val="28"/>
      <w:szCs w:val="20"/>
      <w:lang w:val="en-GB"/>
    </w:rPr>
  </w:style>
  <w:style w:type="character" w:customStyle="1" w:styleId="TitleChar">
    <w:name w:val="Title Char"/>
    <w:basedOn w:val="DefaultParagraphFont"/>
    <w:link w:val="Title"/>
    <w:rsid w:val="001F2DF3"/>
    <w:rPr>
      <w:rFonts w:ascii="Times New Roman" w:eastAsia="Times New Roman" w:hAnsi="Times New Roman" w:cs="Times New Roman"/>
      <w:b/>
      <w:sz w:val="28"/>
      <w:szCs w:val="20"/>
      <w:lang w:val="en-GB" w:eastAsia="en-AU"/>
    </w:rPr>
  </w:style>
  <w:style w:type="paragraph" w:customStyle="1" w:styleId="Default">
    <w:name w:val="Default"/>
    <w:rsid w:val="00811A7E"/>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3F018D"/>
    <w:rPr>
      <w:sz w:val="16"/>
      <w:szCs w:val="16"/>
    </w:rPr>
  </w:style>
  <w:style w:type="paragraph" w:styleId="CommentText">
    <w:name w:val="annotation text"/>
    <w:basedOn w:val="Normal"/>
    <w:link w:val="CommentTextChar"/>
    <w:uiPriority w:val="99"/>
    <w:semiHidden/>
    <w:unhideWhenUsed/>
    <w:rsid w:val="003F018D"/>
    <w:pPr>
      <w:spacing w:line="240" w:lineRule="auto"/>
    </w:pPr>
    <w:rPr>
      <w:sz w:val="20"/>
      <w:szCs w:val="20"/>
    </w:rPr>
  </w:style>
  <w:style w:type="character" w:customStyle="1" w:styleId="CommentTextChar">
    <w:name w:val="Comment Text Char"/>
    <w:basedOn w:val="DefaultParagraphFont"/>
    <w:link w:val="CommentText"/>
    <w:uiPriority w:val="99"/>
    <w:semiHidden/>
    <w:rsid w:val="003F018D"/>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3F018D"/>
    <w:rPr>
      <w:b/>
      <w:bCs/>
    </w:rPr>
  </w:style>
  <w:style w:type="character" w:customStyle="1" w:styleId="CommentSubjectChar">
    <w:name w:val="Comment Subject Char"/>
    <w:basedOn w:val="CommentTextChar"/>
    <w:link w:val="CommentSubject"/>
    <w:uiPriority w:val="99"/>
    <w:semiHidden/>
    <w:rsid w:val="003F018D"/>
    <w:rPr>
      <w:rFonts w:ascii="Arial" w:eastAsia="Times New Roman" w:hAnsi="Arial" w:cs="Times New Roman"/>
      <w:b/>
      <w:bCs/>
      <w:sz w:val="20"/>
      <w:szCs w:val="20"/>
      <w:lang w:eastAsia="en-AU"/>
    </w:rPr>
  </w:style>
  <w:style w:type="paragraph" w:styleId="Header">
    <w:name w:val="header"/>
    <w:basedOn w:val="Normal"/>
    <w:link w:val="HeaderChar"/>
    <w:uiPriority w:val="99"/>
    <w:unhideWhenUsed/>
    <w:rsid w:val="00302632"/>
    <w:pPr>
      <w:tabs>
        <w:tab w:val="center" w:pos="4513"/>
        <w:tab w:val="right" w:pos="9026"/>
      </w:tabs>
      <w:spacing w:line="240" w:lineRule="auto"/>
    </w:pPr>
  </w:style>
  <w:style w:type="character" w:customStyle="1" w:styleId="HeaderChar">
    <w:name w:val="Header Char"/>
    <w:basedOn w:val="DefaultParagraphFont"/>
    <w:link w:val="Header"/>
    <w:uiPriority w:val="99"/>
    <w:rsid w:val="00302632"/>
    <w:rPr>
      <w:rFonts w:ascii="Arial" w:eastAsia="Times New Roman" w:hAnsi="Arial" w:cs="Times New Roman"/>
      <w:szCs w:val="24"/>
      <w:lang w:eastAsia="en-AU"/>
    </w:rPr>
  </w:style>
  <w:style w:type="paragraph" w:customStyle="1" w:styleId="Address">
    <w:name w:val="Address"/>
    <w:basedOn w:val="Normal"/>
    <w:qFormat/>
    <w:rsid w:val="00FE5824"/>
    <w:pPr>
      <w:spacing w:line="260" w:lineRule="exact"/>
      <w:jc w:val="right"/>
    </w:pPr>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0" w:unhideWhenUsed="0" w:qFormat="1"/>
    <w:lsdException w:name="Default Paragraph Font" w:uiPriority="1"/>
    <w:lsdException w:name="Subtitle" w:semiHidden="0" w:uiPriority="11" w:unhideWhenUsed="0"/>
    <w:lsdException w:name="Hyperlink"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53545"/>
    <w:pPr>
      <w:spacing w:after="0" w:line="280" w:lineRule="exact"/>
    </w:pPr>
    <w:rPr>
      <w:rFonts w:ascii="Arial" w:eastAsia="Times New Roman" w:hAnsi="Arial" w:cs="Times New Roman"/>
      <w:szCs w:val="24"/>
      <w:lang w:eastAsia="en-AU"/>
    </w:rPr>
  </w:style>
  <w:style w:type="paragraph" w:styleId="Heading1">
    <w:name w:val="heading 1"/>
    <w:basedOn w:val="Normal"/>
    <w:next w:val="Normal"/>
    <w:link w:val="Heading1Char"/>
    <w:uiPriority w:val="9"/>
    <w:qFormat/>
    <w:rsid w:val="00F64C7B"/>
    <w:pPr>
      <w:keepNext/>
      <w:keepLines/>
      <w:spacing w:before="420" w:line="240" w:lineRule="auto"/>
      <w:outlineLvl w:val="0"/>
    </w:pPr>
    <w:rPr>
      <w:rFonts w:ascii="Lucida Fax" w:eastAsiaTheme="majorEastAsia" w:hAnsi="Lucida Fax" w:cstheme="majorBidi"/>
      <w:bCs/>
      <w:color w:val="51626F"/>
      <w:sz w:val="32"/>
      <w:szCs w:val="28"/>
      <w:lang w:eastAsia="en-US"/>
    </w:rPr>
  </w:style>
  <w:style w:type="paragraph" w:styleId="Heading2">
    <w:name w:val="heading 2"/>
    <w:basedOn w:val="Normal"/>
    <w:next w:val="Normal"/>
    <w:link w:val="Heading2Char"/>
    <w:uiPriority w:val="9"/>
    <w:unhideWhenUsed/>
    <w:qFormat/>
    <w:rsid w:val="00F64C7B"/>
    <w:pPr>
      <w:keepNext/>
      <w:keepLines/>
      <w:spacing w:before="420" w:line="240" w:lineRule="auto"/>
      <w:outlineLvl w:val="1"/>
    </w:pPr>
    <w:rPr>
      <w:rFonts w:eastAsiaTheme="majorEastAsia" w:cstheme="majorBidi"/>
      <w:b/>
      <w:bCs/>
      <w:color w:val="51626F"/>
      <w:sz w:val="28"/>
      <w:szCs w:val="26"/>
      <w:lang w:eastAsia="en-US"/>
    </w:rPr>
  </w:style>
  <w:style w:type="paragraph" w:styleId="Heading3">
    <w:name w:val="heading 3"/>
    <w:basedOn w:val="Normal"/>
    <w:next w:val="Normal"/>
    <w:link w:val="Heading3Char"/>
    <w:uiPriority w:val="9"/>
    <w:unhideWhenUsed/>
    <w:qFormat/>
    <w:rsid w:val="00F64C7B"/>
    <w:pPr>
      <w:keepNext/>
      <w:keepLines/>
      <w:spacing w:before="200" w:line="240" w:lineRule="auto"/>
      <w:outlineLvl w:val="2"/>
    </w:pPr>
    <w:rPr>
      <w:rFonts w:eastAsiaTheme="majorEastAsia" w:cstheme="majorBidi"/>
      <w:b/>
      <w:bCs/>
      <w:sz w:val="24"/>
      <w:szCs w:val="22"/>
      <w:lang w:eastAsia="en-US"/>
    </w:rPr>
  </w:style>
  <w:style w:type="paragraph" w:styleId="Heading4">
    <w:name w:val="heading 4"/>
    <w:basedOn w:val="Normal"/>
    <w:next w:val="Normal"/>
    <w:link w:val="Heading4Char"/>
    <w:uiPriority w:val="9"/>
    <w:unhideWhenUsed/>
    <w:qFormat/>
    <w:rsid w:val="00F64C7B"/>
    <w:pPr>
      <w:keepNext/>
      <w:keepLines/>
      <w:spacing w:before="200" w:line="240" w:lineRule="auto"/>
      <w:outlineLvl w:val="3"/>
    </w:pPr>
    <w:rPr>
      <w:rFonts w:eastAsiaTheme="majorEastAsia" w:cstheme="majorBidi"/>
      <w:b/>
      <w:bCs/>
      <w:i/>
      <w:iCs/>
      <w:color w:val="51626F"/>
      <w:sz w:val="24"/>
      <w:szCs w:val="22"/>
      <w:lang w:eastAsia="en-US"/>
    </w:rPr>
  </w:style>
  <w:style w:type="paragraph" w:styleId="Heading5">
    <w:name w:val="heading 5"/>
    <w:basedOn w:val="Normal"/>
    <w:next w:val="Normal"/>
    <w:link w:val="Heading5Char"/>
    <w:uiPriority w:val="9"/>
    <w:unhideWhenUsed/>
    <w:qFormat/>
    <w:rsid w:val="003F018D"/>
    <w:pPr>
      <w:keepNext/>
      <w:keepLines/>
      <w:spacing w:before="320" w:after="60" w:line="240" w:lineRule="auto"/>
      <w:outlineLvl w:val="4"/>
    </w:pPr>
    <w:rPr>
      <w:rFonts w:eastAsiaTheme="majorEastAsia" w:cstheme="majorBidi"/>
      <w:b/>
      <w:szCs w:val="22"/>
      <w:lang w:eastAsia="en-US"/>
    </w:rPr>
  </w:style>
  <w:style w:type="paragraph" w:styleId="Heading6">
    <w:name w:val="heading 6"/>
    <w:basedOn w:val="Normal"/>
    <w:next w:val="Normal"/>
    <w:link w:val="Heading6Char"/>
    <w:uiPriority w:val="9"/>
    <w:unhideWhenUsed/>
    <w:rsid w:val="00564A4D"/>
    <w:pPr>
      <w:keepNext/>
      <w:keepLines/>
      <w:spacing w:before="200" w:line="240" w:lineRule="auto"/>
      <w:outlineLvl w:val="5"/>
    </w:pPr>
    <w:rPr>
      <w:rFonts w:eastAsiaTheme="majorEastAsia" w:cstheme="majorBidi"/>
      <w:i/>
      <w:iCs/>
      <w:sz w:val="20"/>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4C7B"/>
    <w:rPr>
      <w:rFonts w:ascii="Lucida Fax" w:eastAsiaTheme="majorEastAsia" w:hAnsi="Lucida Fax" w:cstheme="majorBidi"/>
      <w:bCs/>
      <w:color w:val="51626F"/>
      <w:sz w:val="32"/>
      <w:szCs w:val="28"/>
    </w:rPr>
  </w:style>
  <w:style w:type="character" w:customStyle="1" w:styleId="Heading2Char">
    <w:name w:val="Heading 2 Char"/>
    <w:basedOn w:val="DefaultParagraphFont"/>
    <w:link w:val="Heading2"/>
    <w:uiPriority w:val="9"/>
    <w:rsid w:val="00F64C7B"/>
    <w:rPr>
      <w:rFonts w:ascii="Arial" w:eastAsiaTheme="majorEastAsia" w:hAnsi="Arial" w:cstheme="majorBidi"/>
      <w:b/>
      <w:bCs/>
      <w:color w:val="51626F"/>
      <w:sz w:val="28"/>
      <w:szCs w:val="26"/>
    </w:rPr>
  </w:style>
  <w:style w:type="character" w:customStyle="1" w:styleId="Heading3Char">
    <w:name w:val="Heading 3 Char"/>
    <w:basedOn w:val="DefaultParagraphFont"/>
    <w:link w:val="Heading3"/>
    <w:uiPriority w:val="9"/>
    <w:rsid w:val="00F64C7B"/>
    <w:rPr>
      <w:rFonts w:ascii="Arial" w:eastAsiaTheme="majorEastAsia" w:hAnsi="Arial" w:cstheme="majorBidi"/>
      <w:b/>
      <w:bCs/>
      <w:sz w:val="24"/>
    </w:rPr>
  </w:style>
  <w:style w:type="character" w:customStyle="1" w:styleId="Heading4Char">
    <w:name w:val="Heading 4 Char"/>
    <w:basedOn w:val="DefaultParagraphFont"/>
    <w:link w:val="Heading4"/>
    <w:uiPriority w:val="9"/>
    <w:rsid w:val="00F64C7B"/>
    <w:rPr>
      <w:rFonts w:ascii="Arial" w:eastAsiaTheme="majorEastAsia" w:hAnsi="Arial" w:cstheme="majorBidi"/>
      <w:b/>
      <w:bCs/>
      <w:i/>
      <w:iCs/>
      <w:color w:val="51626F"/>
      <w:sz w:val="24"/>
    </w:rPr>
  </w:style>
  <w:style w:type="character" w:customStyle="1" w:styleId="Heading5Char">
    <w:name w:val="Heading 5 Char"/>
    <w:basedOn w:val="DefaultParagraphFont"/>
    <w:link w:val="Heading5"/>
    <w:uiPriority w:val="9"/>
    <w:rsid w:val="003F018D"/>
    <w:rPr>
      <w:rFonts w:ascii="Arial" w:eastAsiaTheme="majorEastAsia" w:hAnsi="Arial" w:cstheme="majorBidi"/>
      <w:b/>
    </w:rPr>
  </w:style>
  <w:style w:type="character" w:customStyle="1" w:styleId="Heading6Char">
    <w:name w:val="Heading 6 Char"/>
    <w:basedOn w:val="DefaultParagraphFont"/>
    <w:link w:val="Heading6"/>
    <w:uiPriority w:val="9"/>
    <w:rsid w:val="00564A4D"/>
    <w:rPr>
      <w:rFonts w:ascii="Arial" w:eastAsiaTheme="majorEastAsia" w:hAnsi="Arial" w:cstheme="majorBidi"/>
      <w:i/>
      <w:iCs/>
      <w:sz w:val="20"/>
    </w:rPr>
  </w:style>
  <w:style w:type="paragraph" w:customStyle="1" w:styleId="Reporttitle">
    <w:name w:val="Report title"/>
    <w:basedOn w:val="Normal"/>
    <w:link w:val="ReporttitleChar"/>
    <w:qFormat/>
    <w:rsid w:val="00532467"/>
    <w:pPr>
      <w:spacing w:before="520" w:line="240" w:lineRule="auto"/>
    </w:pPr>
    <w:rPr>
      <w:rFonts w:ascii="Lucida Fax" w:eastAsiaTheme="minorHAnsi" w:hAnsi="Lucida Fax" w:cstheme="minorBidi"/>
      <w:b/>
      <w:color w:val="4F2D7F"/>
      <w:sz w:val="56"/>
      <w:szCs w:val="56"/>
      <w:lang w:eastAsia="en-US"/>
    </w:rPr>
  </w:style>
  <w:style w:type="character" w:customStyle="1" w:styleId="ReporttitleChar">
    <w:name w:val="Report title Char"/>
    <w:basedOn w:val="DefaultParagraphFont"/>
    <w:link w:val="Reporttitle"/>
    <w:rsid w:val="00532467"/>
    <w:rPr>
      <w:rFonts w:ascii="Lucida Fax" w:hAnsi="Lucida Fax"/>
      <w:b/>
      <w:color w:val="4F2D7F"/>
      <w:sz w:val="56"/>
      <w:szCs w:val="56"/>
    </w:rPr>
  </w:style>
  <w:style w:type="paragraph" w:customStyle="1" w:styleId="Chaptertitle">
    <w:name w:val="Chapter title"/>
    <w:basedOn w:val="Reporttitle"/>
    <w:link w:val="ChaptertitleChar"/>
    <w:qFormat/>
    <w:rsid w:val="00532467"/>
    <w:rPr>
      <w:b w:val="0"/>
      <w:sz w:val="52"/>
      <w:szCs w:val="52"/>
    </w:rPr>
  </w:style>
  <w:style w:type="character" w:customStyle="1" w:styleId="ChaptertitleChar">
    <w:name w:val="Chapter title Char"/>
    <w:basedOn w:val="ReporttitleChar"/>
    <w:link w:val="Chaptertitle"/>
    <w:rsid w:val="00532467"/>
    <w:rPr>
      <w:rFonts w:ascii="Lucida Fax" w:hAnsi="Lucida Fax"/>
      <w:b w:val="0"/>
      <w:color w:val="4F2D7F"/>
      <w:sz w:val="52"/>
      <w:szCs w:val="52"/>
    </w:rPr>
  </w:style>
  <w:style w:type="paragraph" w:customStyle="1" w:styleId="Numberedlist">
    <w:name w:val="Numbered list"/>
    <w:basedOn w:val="ListNumber"/>
    <w:qFormat/>
    <w:rsid w:val="00EA3D42"/>
    <w:pPr>
      <w:ind w:left="357" w:hanging="357"/>
    </w:pPr>
  </w:style>
  <w:style w:type="paragraph" w:customStyle="1" w:styleId="Numberedlist2">
    <w:name w:val="Numbered list 2"/>
    <w:basedOn w:val="ListNumber2"/>
    <w:qFormat/>
    <w:rsid w:val="00EA3D42"/>
    <w:pPr>
      <w:numPr>
        <w:numId w:val="18"/>
      </w:numPr>
    </w:pPr>
  </w:style>
  <w:style w:type="paragraph" w:customStyle="1" w:styleId="Copyrighttext">
    <w:name w:val="Copyright text"/>
    <w:basedOn w:val="Normal"/>
    <w:link w:val="CopyrighttextChar"/>
    <w:qFormat/>
    <w:rsid w:val="00EA3D42"/>
    <w:pPr>
      <w:spacing w:before="120" w:line="240" w:lineRule="auto"/>
      <w:ind w:left="1225"/>
      <w:contextualSpacing/>
    </w:pPr>
    <w:rPr>
      <w:rFonts w:eastAsiaTheme="minorHAnsi" w:cstheme="minorBidi"/>
      <w:sz w:val="16"/>
      <w:szCs w:val="16"/>
      <w:lang w:eastAsia="en-US"/>
    </w:rPr>
  </w:style>
  <w:style w:type="character" w:customStyle="1" w:styleId="CopyrighttextChar">
    <w:name w:val="Copyright text Char"/>
    <w:basedOn w:val="DefaultParagraphFont"/>
    <w:link w:val="Copyrighttext"/>
    <w:rsid w:val="00EA3D42"/>
    <w:rPr>
      <w:rFonts w:ascii="Arial" w:hAnsi="Arial"/>
      <w:sz w:val="16"/>
      <w:szCs w:val="16"/>
    </w:rPr>
  </w:style>
  <w:style w:type="paragraph" w:customStyle="1" w:styleId="TableofcontentsTOCheading">
    <w:name w:val="Table of contents (TOC) heading"/>
    <w:basedOn w:val="Normal"/>
    <w:link w:val="TableofcontentsTOCheadingChar"/>
    <w:qFormat/>
    <w:rsid w:val="00EA3D42"/>
    <w:pPr>
      <w:spacing w:before="240" w:after="120" w:line="240" w:lineRule="auto"/>
      <w:ind w:left="1225"/>
      <w:contextualSpacing/>
    </w:pPr>
    <w:rPr>
      <w:rFonts w:eastAsiaTheme="minorHAnsi" w:cstheme="minorBidi"/>
      <w:b/>
      <w:sz w:val="20"/>
      <w:szCs w:val="20"/>
      <w:lang w:eastAsia="en-US"/>
    </w:rPr>
  </w:style>
  <w:style w:type="character" w:customStyle="1" w:styleId="TableofcontentsTOCheadingChar">
    <w:name w:val="Table of contents (TOC) heading Char"/>
    <w:basedOn w:val="DefaultParagraphFont"/>
    <w:link w:val="TableofcontentsTOCheading"/>
    <w:rsid w:val="00EA3D42"/>
    <w:rPr>
      <w:rFonts w:ascii="Arial" w:hAnsi="Arial"/>
      <w:b/>
      <w:sz w:val="20"/>
      <w:szCs w:val="20"/>
    </w:rPr>
  </w:style>
  <w:style w:type="paragraph" w:customStyle="1" w:styleId="Tableofcontentstext">
    <w:name w:val="Table of contents text"/>
    <w:basedOn w:val="Normal"/>
    <w:link w:val="TableofcontentstextChar"/>
    <w:qFormat/>
    <w:rsid w:val="00EA3D42"/>
    <w:pPr>
      <w:spacing w:before="120" w:line="240" w:lineRule="auto"/>
      <w:ind w:left="1225"/>
      <w:contextualSpacing/>
    </w:pPr>
    <w:rPr>
      <w:rFonts w:eastAsiaTheme="minorHAnsi" w:cstheme="minorBidi"/>
      <w:sz w:val="20"/>
      <w:szCs w:val="20"/>
      <w:lang w:eastAsia="en-US"/>
    </w:rPr>
  </w:style>
  <w:style w:type="character" w:customStyle="1" w:styleId="TableofcontentstextChar">
    <w:name w:val="Table of contents text Char"/>
    <w:basedOn w:val="DefaultParagraphFont"/>
    <w:link w:val="Tableofcontentstext"/>
    <w:rsid w:val="00EA3D42"/>
    <w:rPr>
      <w:rFonts w:ascii="Arial" w:hAnsi="Arial"/>
      <w:sz w:val="20"/>
      <w:szCs w:val="20"/>
    </w:rPr>
  </w:style>
  <w:style w:type="paragraph" w:customStyle="1" w:styleId="Headingnumbered1">
    <w:name w:val="Heading numbered 1."/>
    <w:basedOn w:val="Normal"/>
    <w:link w:val="Headingnumbered1Char"/>
    <w:qFormat/>
    <w:rsid w:val="00021202"/>
    <w:pPr>
      <w:numPr>
        <w:numId w:val="2"/>
      </w:numPr>
      <w:spacing w:before="520" w:line="240" w:lineRule="auto"/>
      <w:contextualSpacing/>
      <w:outlineLvl w:val="1"/>
    </w:pPr>
    <w:rPr>
      <w:rFonts w:ascii="Lucida Fax" w:eastAsiaTheme="minorHAnsi" w:hAnsi="Lucida Fax" w:cstheme="minorBidi"/>
      <w:color w:val="51626F"/>
      <w:sz w:val="32"/>
      <w:szCs w:val="32"/>
      <w:lang w:eastAsia="en-US"/>
    </w:rPr>
  </w:style>
  <w:style w:type="character" w:customStyle="1" w:styleId="Headingnumbered1Char">
    <w:name w:val="Heading numbered 1. Char"/>
    <w:basedOn w:val="DefaultParagraphFont"/>
    <w:link w:val="Headingnumbered1"/>
    <w:rsid w:val="00021202"/>
    <w:rPr>
      <w:rFonts w:ascii="Lucida Fax" w:hAnsi="Lucida Fax"/>
      <w:color w:val="51626F"/>
      <w:sz w:val="32"/>
      <w:szCs w:val="32"/>
    </w:rPr>
  </w:style>
  <w:style w:type="paragraph" w:customStyle="1" w:styleId="Headingnumbered11">
    <w:name w:val="Heading numbered 1.1"/>
    <w:basedOn w:val="Normal"/>
    <w:link w:val="Headingnumbered11Char"/>
    <w:qFormat/>
    <w:rsid w:val="00021202"/>
    <w:pPr>
      <w:numPr>
        <w:ilvl w:val="1"/>
        <w:numId w:val="5"/>
      </w:numPr>
      <w:spacing w:before="520" w:line="240" w:lineRule="auto"/>
      <w:ind w:left="958" w:hanging="958"/>
      <w:contextualSpacing/>
      <w:outlineLvl w:val="2"/>
    </w:pPr>
    <w:rPr>
      <w:rFonts w:eastAsiaTheme="minorHAnsi" w:cstheme="minorBidi"/>
      <w:b/>
      <w:color w:val="51626F"/>
      <w:sz w:val="28"/>
      <w:lang w:eastAsia="en-US"/>
    </w:rPr>
  </w:style>
  <w:style w:type="character" w:customStyle="1" w:styleId="Headingnumbered11Char">
    <w:name w:val="Heading numbered 1.1 Char"/>
    <w:basedOn w:val="DefaultParagraphFont"/>
    <w:link w:val="Headingnumbered11"/>
    <w:rsid w:val="00021202"/>
    <w:rPr>
      <w:rFonts w:ascii="Arial" w:hAnsi="Arial"/>
      <w:b/>
      <w:color w:val="51626F"/>
      <w:sz w:val="28"/>
      <w:szCs w:val="24"/>
    </w:rPr>
  </w:style>
  <w:style w:type="paragraph" w:customStyle="1" w:styleId="Headingnumbered111">
    <w:name w:val="Heading numbered 1.1.1"/>
    <w:basedOn w:val="Normal"/>
    <w:link w:val="Headingnumbered111Char"/>
    <w:qFormat/>
    <w:rsid w:val="00021202"/>
    <w:pPr>
      <w:numPr>
        <w:ilvl w:val="2"/>
        <w:numId w:val="6"/>
      </w:numPr>
      <w:spacing w:before="240" w:after="240" w:line="240" w:lineRule="auto"/>
      <w:ind w:left="958" w:hanging="958"/>
      <w:contextualSpacing/>
      <w:outlineLvl w:val="3"/>
    </w:pPr>
    <w:rPr>
      <w:rFonts w:eastAsiaTheme="minorHAnsi" w:cstheme="minorBidi"/>
      <w:sz w:val="24"/>
      <w:lang w:eastAsia="en-US"/>
    </w:rPr>
  </w:style>
  <w:style w:type="character" w:customStyle="1" w:styleId="Headingnumbered111Char">
    <w:name w:val="Heading numbered 1.1.1 Char"/>
    <w:basedOn w:val="DefaultParagraphFont"/>
    <w:link w:val="Headingnumbered111"/>
    <w:rsid w:val="00021202"/>
    <w:rPr>
      <w:rFonts w:ascii="Arial" w:hAnsi="Arial"/>
      <w:sz w:val="24"/>
      <w:szCs w:val="24"/>
    </w:rPr>
  </w:style>
  <w:style w:type="paragraph" w:customStyle="1" w:styleId="Tableheadingtext">
    <w:name w:val="Table heading text"/>
    <w:basedOn w:val="Normal"/>
    <w:link w:val="TableheadingtextChar"/>
    <w:qFormat/>
    <w:rsid w:val="00EA3D42"/>
    <w:pPr>
      <w:spacing w:before="240" w:after="240" w:line="240" w:lineRule="auto"/>
      <w:contextualSpacing/>
    </w:pPr>
    <w:rPr>
      <w:rFonts w:eastAsiaTheme="minorHAnsi" w:cstheme="minorBidi"/>
      <w:b/>
      <w:sz w:val="20"/>
      <w:szCs w:val="20"/>
      <w:lang w:eastAsia="en-US"/>
    </w:rPr>
  </w:style>
  <w:style w:type="character" w:customStyle="1" w:styleId="TableheadingtextChar">
    <w:name w:val="Table heading text Char"/>
    <w:basedOn w:val="DefaultParagraphFont"/>
    <w:link w:val="Tableheadingtext"/>
    <w:rsid w:val="00EA3D42"/>
    <w:rPr>
      <w:rFonts w:ascii="Arial" w:hAnsi="Arial"/>
      <w:b/>
      <w:sz w:val="20"/>
      <w:szCs w:val="20"/>
    </w:rPr>
  </w:style>
  <w:style w:type="paragraph" w:customStyle="1" w:styleId="Tablebodytext">
    <w:name w:val="Table body text"/>
    <w:basedOn w:val="Normal"/>
    <w:link w:val="TablebodytextChar"/>
    <w:qFormat/>
    <w:rsid w:val="00EA3D42"/>
    <w:pPr>
      <w:spacing w:before="120" w:line="240" w:lineRule="auto"/>
      <w:ind w:left="1225"/>
      <w:contextualSpacing/>
    </w:pPr>
    <w:rPr>
      <w:rFonts w:eastAsiaTheme="minorHAnsi" w:cstheme="minorBidi"/>
      <w:sz w:val="20"/>
      <w:szCs w:val="22"/>
      <w:lang w:eastAsia="en-US"/>
    </w:rPr>
  </w:style>
  <w:style w:type="character" w:customStyle="1" w:styleId="TablebodytextChar">
    <w:name w:val="Table body text Char"/>
    <w:basedOn w:val="DefaultParagraphFont"/>
    <w:link w:val="Tablebodytext"/>
    <w:rsid w:val="00EA3D42"/>
    <w:rPr>
      <w:rFonts w:ascii="Arial" w:hAnsi="Arial"/>
      <w:sz w:val="20"/>
    </w:rPr>
  </w:style>
  <w:style w:type="paragraph" w:customStyle="1" w:styleId="Chartheading">
    <w:name w:val="Chart heading"/>
    <w:basedOn w:val="Normal"/>
    <w:link w:val="ChartheadingChar"/>
    <w:qFormat/>
    <w:rsid w:val="00EA3D42"/>
    <w:pPr>
      <w:spacing w:before="240" w:after="240" w:line="240" w:lineRule="auto"/>
      <w:contextualSpacing/>
    </w:pPr>
    <w:rPr>
      <w:rFonts w:eastAsiaTheme="minorHAnsi" w:cstheme="minorBidi"/>
      <w:b/>
      <w:sz w:val="20"/>
      <w:szCs w:val="20"/>
      <w:lang w:eastAsia="en-US"/>
    </w:rPr>
  </w:style>
  <w:style w:type="character" w:customStyle="1" w:styleId="ChartheadingChar">
    <w:name w:val="Chart heading Char"/>
    <w:basedOn w:val="DefaultParagraphFont"/>
    <w:link w:val="Chartheading"/>
    <w:rsid w:val="00EA3D42"/>
    <w:rPr>
      <w:rFonts w:ascii="Arial" w:hAnsi="Arial"/>
      <w:b/>
      <w:sz w:val="20"/>
      <w:szCs w:val="20"/>
    </w:rPr>
  </w:style>
  <w:style w:type="paragraph" w:customStyle="1" w:styleId="Boxedtextheading">
    <w:name w:val="Boxed text heading"/>
    <w:basedOn w:val="Normal"/>
    <w:link w:val="BoxedtextheadingChar"/>
    <w:qFormat/>
    <w:rsid w:val="00BE1F1B"/>
    <w:pPr>
      <w:pBdr>
        <w:top w:val="single" w:sz="4" w:space="4" w:color="auto"/>
        <w:left w:val="single" w:sz="4" w:space="4" w:color="auto"/>
        <w:bottom w:val="single" w:sz="4" w:space="4" w:color="auto"/>
        <w:right w:val="single" w:sz="4" w:space="4" w:color="auto"/>
      </w:pBdr>
      <w:spacing w:before="240" w:after="240" w:line="240" w:lineRule="auto"/>
      <w:contextualSpacing/>
    </w:pPr>
    <w:rPr>
      <w:rFonts w:eastAsiaTheme="minorHAnsi" w:cstheme="minorBidi"/>
      <w:b/>
      <w:sz w:val="20"/>
      <w:szCs w:val="20"/>
      <w:lang w:eastAsia="en-US"/>
    </w:rPr>
  </w:style>
  <w:style w:type="character" w:customStyle="1" w:styleId="BoxedtextheadingChar">
    <w:name w:val="Boxed text heading Char"/>
    <w:basedOn w:val="DefaultParagraphFont"/>
    <w:link w:val="Boxedtextheading"/>
    <w:rsid w:val="00BE1F1B"/>
    <w:rPr>
      <w:rFonts w:ascii="Arial" w:hAnsi="Arial"/>
      <w:b/>
      <w:sz w:val="20"/>
      <w:szCs w:val="20"/>
    </w:rPr>
  </w:style>
  <w:style w:type="paragraph" w:customStyle="1" w:styleId="Boxedtext">
    <w:name w:val="Boxed text"/>
    <w:basedOn w:val="Normal"/>
    <w:link w:val="BoxedtextChar"/>
    <w:qFormat/>
    <w:rsid w:val="00BE1F1B"/>
    <w:pPr>
      <w:pBdr>
        <w:top w:val="single" w:sz="4" w:space="4" w:color="auto"/>
        <w:left w:val="single" w:sz="4" w:space="4" w:color="auto"/>
        <w:bottom w:val="single" w:sz="4" w:space="4" w:color="auto"/>
        <w:right w:val="single" w:sz="4" w:space="4" w:color="auto"/>
      </w:pBdr>
      <w:spacing w:before="120" w:line="240" w:lineRule="auto"/>
      <w:contextualSpacing/>
    </w:pPr>
    <w:rPr>
      <w:rFonts w:eastAsiaTheme="minorHAnsi" w:cstheme="minorBidi"/>
      <w:sz w:val="20"/>
      <w:szCs w:val="20"/>
      <w:lang w:eastAsia="en-US"/>
    </w:rPr>
  </w:style>
  <w:style w:type="character" w:customStyle="1" w:styleId="BoxedtextChar">
    <w:name w:val="Boxed text Char"/>
    <w:basedOn w:val="DefaultParagraphFont"/>
    <w:link w:val="Boxedtext"/>
    <w:rsid w:val="00BE1F1B"/>
    <w:rPr>
      <w:rFonts w:ascii="Arial" w:hAnsi="Arial"/>
      <w:sz w:val="20"/>
      <w:szCs w:val="20"/>
    </w:rPr>
  </w:style>
  <w:style w:type="paragraph" w:customStyle="1" w:styleId="Pullquoteheading">
    <w:name w:val="Pull quote heading"/>
    <w:basedOn w:val="Normal"/>
    <w:link w:val="PullquoteheadingChar"/>
    <w:qFormat/>
    <w:rsid w:val="00EA3D42"/>
    <w:pPr>
      <w:spacing w:before="120" w:after="120" w:line="240" w:lineRule="auto"/>
      <w:contextualSpacing/>
    </w:pPr>
    <w:rPr>
      <w:rFonts w:ascii="Lucida Fax" w:eastAsiaTheme="minorHAnsi" w:hAnsi="Lucida Fax" w:cstheme="minorBidi"/>
      <w:b/>
      <w:color w:val="DC5034"/>
      <w:sz w:val="24"/>
      <w:lang w:eastAsia="en-US"/>
    </w:rPr>
  </w:style>
  <w:style w:type="character" w:customStyle="1" w:styleId="PullquoteheadingChar">
    <w:name w:val="Pull quote heading Char"/>
    <w:basedOn w:val="DefaultParagraphFont"/>
    <w:link w:val="Pullquoteheading"/>
    <w:rsid w:val="00EA3D42"/>
    <w:rPr>
      <w:rFonts w:ascii="Lucida Fax" w:hAnsi="Lucida Fax"/>
      <w:b/>
      <w:color w:val="DC5034"/>
      <w:sz w:val="24"/>
      <w:szCs w:val="24"/>
    </w:rPr>
  </w:style>
  <w:style w:type="paragraph" w:customStyle="1" w:styleId="Pullquotetext">
    <w:name w:val="Pull quote text"/>
    <w:basedOn w:val="Pullquoteheading"/>
    <w:link w:val="PullquotetextChar"/>
    <w:qFormat/>
    <w:rsid w:val="007C1C53"/>
    <w:rPr>
      <w:b w:val="0"/>
    </w:rPr>
  </w:style>
  <w:style w:type="character" w:customStyle="1" w:styleId="PullquotetextChar">
    <w:name w:val="Pull quote text Char"/>
    <w:basedOn w:val="PullquoteheadingChar"/>
    <w:link w:val="Pullquotetext"/>
    <w:rsid w:val="007C1C53"/>
    <w:rPr>
      <w:rFonts w:ascii="Lucida Fax" w:hAnsi="Lucida Fax"/>
      <w:b w:val="0"/>
      <w:color w:val="DC5034"/>
      <w:sz w:val="24"/>
      <w:szCs w:val="24"/>
    </w:rPr>
  </w:style>
  <w:style w:type="paragraph" w:customStyle="1" w:styleId="Note">
    <w:name w:val="Note"/>
    <w:basedOn w:val="Normal"/>
    <w:link w:val="NoteChar"/>
    <w:qFormat/>
    <w:rsid w:val="00EA3D42"/>
    <w:pPr>
      <w:spacing w:before="120" w:after="120" w:line="240" w:lineRule="auto"/>
      <w:contextualSpacing/>
    </w:pPr>
    <w:rPr>
      <w:rFonts w:eastAsiaTheme="minorHAnsi" w:cstheme="minorBidi"/>
      <w:i/>
      <w:sz w:val="16"/>
      <w:szCs w:val="16"/>
      <w:lang w:eastAsia="en-US"/>
    </w:rPr>
  </w:style>
  <w:style w:type="character" w:customStyle="1" w:styleId="NoteChar">
    <w:name w:val="Note Char"/>
    <w:basedOn w:val="DefaultParagraphFont"/>
    <w:link w:val="Note"/>
    <w:rsid w:val="00EA3D42"/>
    <w:rPr>
      <w:rFonts w:ascii="Arial" w:hAnsi="Arial"/>
      <w:i/>
      <w:sz w:val="16"/>
      <w:szCs w:val="16"/>
    </w:rPr>
  </w:style>
  <w:style w:type="paragraph" w:customStyle="1" w:styleId="Source">
    <w:name w:val="Source"/>
    <w:basedOn w:val="Normal"/>
    <w:link w:val="SourceChar"/>
    <w:qFormat/>
    <w:rsid w:val="00EA3D42"/>
    <w:pPr>
      <w:spacing w:before="60" w:line="240" w:lineRule="auto"/>
      <w:contextualSpacing/>
    </w:pPr>
    <w:rPr>
      <w:rFonts w:eastAsiaTheme="minorHAnsi" w:cstheme="minorBidi"/>
      <w:sz w:val="16"/>
      <w:szCs w:val="16"/>
      <w:lang w:eastAsia="en-US"/>
    </w:rPr>
  </w:style>
  <w:style w:type="character" w:customStyle="1" w:styleId="SourceChar">
    <w:name w:val="Source Char"/>
    <w:basedOn w:val="DefaultParagraphFont"/>
    <w:link w:val="Source"/>
    <w:rsid w:val="00EA3D42"/>
    <w:rPr>
      <w:rFonts w:ascii="Arial" w:hAnsi="Arial"/>
      <w:sz w:val="16"/>
      <w:szCs w:val="16"/>
    </w:rPr>
  </w:style>
  <w:style w:type="paragraph" w:customStyle="1" w:styleId="Footnotes">
    <w:name w:val="Footnotes"/>
    <w:basedOn w:val="Normal"/>
    <w:link w:val="FootnotesChar"/>
    <w:qFormat/>
    <w:rsid w:val="00EA3D42"/>
    <w:pPr>
      <w:spacing w:before="60" w:line="240" w:lineRule="auto"/>
      <w:contextualSpacing/>
    </w:pPr>
    <w:rPr>
      <w:rFonts w:eastAsiaTheme="minorHAnsi" w:cstheme="minorBidi"/>
      <w:sz w:val="16"/>
      <w:szCs w:val="16"/>
      <w:lang w:eastAsia="en-US"/>
    </w:rPr>
  </w:style>
  <w:style w:type="character" w:customStyle="1" w:styleId="FootnotesChar">
    <w:name w:val="Footnotes Char"/>
    <w:basedOn w:val="DefaultParagraphFont"/>
    <w:link w:val="Footnotes"/>
    <w:rsid w:val="00EA3D42"/>
    <w:rPr>
      <w:rFonts w:ascii="Arial" w:hAnsi="Arial"/>
      <w:sz w:val="16"/>
      <w:szCs w:val="16"/>
    </w:rPr>
  </w:style>
  <w:style w:type="paragraph" w:styleId="Quote">
    <w:name w:val="Quote"/>
    <w:basedOn w:val="Normal"/>
    <w:next w:val="Normal"/>
    <w:link w:val="QuoteChar"/>
    <w:uiPriority w:val="29"/>
    <w:qFormat/>
    <w:rsid w:val="004C104A"/>
    <w:pPr>
      <w:spacing w:before="120" w:after="240" w:line="240" w:lineRule="auto"/>
      <w:ind w:left="454" w:right="454"/>
    </w:pPr>
    <w:rPr>
      <w:rFonts w:eastAsiaTheme="minorHAnsi" w:cstheme="minorBidi"/>
      <w:iCs/>
      <w:color w:val="000000" w:themeColor="text1"/>
      <w:sz w:val="20"/>
      <w:szCs w:val="22"/>
      <w:lang w:eastAsia="en-US"/>
    </w:rPr>
  </w:style>
  <w:style w:type="character" w:customStyle="1" w:styleId="QuoteChar">
    <w:name w:val="Quote Char"/>
    <w:basedOn w:val="DefaultParagraphFont"/>
    <w:link w:val="Quote"/>
    <w:uiPriority w:val="29"/>
    <w:rsid w:val="004C104A"/>
    <w:rPr>
      <w:rFonts w:ascii="Arial" w:hAnsi="Arial"/>
      <w:iCs/>
      <w:color w:val="000000" w:themeColor="text1"/>
      <w:sz w:val="20"/>
    </w:rPr>
  </w:style>
  <w:style w:type="paragraph" w:customStyle="1" w:styleId="Charttext">
    <w:name w:val="Chart text"/>
    <w:basedOn w:val="Normal"/>
    <w:qFormat/>
    <w:rsid w:val="007C1C53"/>
    <w:pPr>
      <w:spacing w:before="120" w:after="120" w:line="240" w:lineRule="auto"/>
    </w:pPr>
    <w:rPr>
      <w:rFonts w:eastAsiaTheme="minorHAnsi" w:cstheme="minorBidi"/>
      <w:sz w:val="20"/>
      <w:szCs w:val="22"/>
      <w:lang w:eastAsia="en-US"/>
    </w:rPr>
  </w:style>
  <w:style w:type="paragraph" w:customStyle="1" w:styleId="Bulletpoint">
    <w:name w:val="Bullet point"/>
    <w:basedOn w:val="ListBullet"/>
    <w:qFormat/>
    <w:rsid w:val="001F2DF3"/>
    <w:pPr>
      <w:spacing w:after="240"/>
      <w:ind w:left="357" w:hanging="357"/>
      <w:contextualSpacing w:val="0"/>
    </w:pPr>
    <w:rPr>
      <w:rFonts w:cs="Times New Roman"/>
    </w:rPr>
  </w:style>
  <w:style w:type="paragraph" w:styleId="ListBullet">
    <w:name w:val="List Bullet"/>
    <w:basedOn w:val="Normal"/>
    <w:uiPriority w:val="99"/>
    <w:unhideWhenUsed/>
    <w:rsid w:val="00D61A54"/>
    <w:pPr>
      <w:numPr>
        <w:numId w:val="7"/>
      </w:numPr>
      <w:spacing w:before="120" w:line="240" w:lineRule="auto"/>
      <w:contextualSpacing/>
    </w:pPr>
    <w:rPr>
      <w:rFonts w:eastAsiaTheme="minorHAnsi" w:cstheme="minorBidi"/>
      <w:szCs w:val="22"/>
      <w:lang w:eastAsia="en-US"/>
    </w:rPr>
  </w:style>
  <w:style w:type="paragraph" w:customStyle="1" w:styleId="Bulletpoint2">
    <w:name w:val="Bullet point 2"/>
    <w:basedOn w:val="ListBullet2"/>
    <w:qFormat/>
    <w:rsid w:val="00EA3D42"/>
    <w:pPr>
      <w:numPr>
        <w:numId w:val="17"/>
      </w:numPr>
    </w:pPr>
  </w:style>
  <w:style w:type="paragraph" w:styleId="ListNumber">
    <w:name w:val="List Number"/>
    <w:basedOn w:val="Normal"/>
    <w:uiPriority w:val="99"/>
    <w:semiHidden/>
    <w:unhideWhenUsed/>
    <w:rsid w:val="00EA3D42"/>
    <w:pPr>
      <w:numPr>
        <w:numId w:val="12"/>
      </w:numPr>
      <w:spacing w:before="120" w:line="240" w:lineRule="auto"/>
      <w:contextualSpacing/>
    </w:pPr>
    <w:rPr>
      <w:rFonts w:eastAsiaTheme="minorHAnsi" w:cstheme="minorBidi"/>
      <w:szCs w:val="22"/>
      <w:lang w:eastAsia="en-US"/>
    </w:rPr>
  </w:style>
  <w:style w:type="paragraph" w:styleId="ListBullet2">
    <w:name w:val="List Bullet 2"/>
    <w:basedOn w:val="Normal"/>
    <w:uiPriority w:val="99"/>
    <w:semiHidden/>
    <w:unhideWhenUsed/>
    <w:rsid w:val="00EA3D42"/>
    <w:pPr>
      <w:numPr>
        <w:numId w:val="8"/>
      </w:numPr>
      <w:spacing w:before="120" w:line="240" w:lineRule="auto"/>
      <w:contextualSpacing/>
    </w:pPr>
    <w:rPr>
      <w:rFonts w:eastAsiaTheme="minorHAnsi" w:cstheme="minorBidi"/>
      <w:szCs w:val="22"/>
      <w:lang w:eastAsia="en-US"/>
    </w:rPr>
  </w:style>
  <w:style w:type="paragraph" w:styleId="TOCHeading">
    <w:name w:val="TOC Heading"/>
    <w:basedOn w:val="Heading1"/>
    <w:next w:val="Normal"/>
    <w:uiPriority w:val="39"/>
    <w:semiHidden/>
    <w:unhideWhenUsed/>
    <w:qFormat/>
    <w:rsid w:val="003518B3"/>
    <w:pPr>
      <w:spacing w:before="480" w:line="276" w:lineRule="auto"/>
      <w:outlineLvl w:val="9"/>
    </w:pPr>
    <w:rPr>
      <w:rFonts w:asciiTheme="majorHAnsi" w:hAnsiTheme="majorHAnsi"/>
      <w:b/>
      <w:color w:val="365F91" w:themeColor="accent1" w:themeShade="BF"/>
      <w:sz w:val="28"/>
      <w:lang w:val="en-US" w:eastAsia="ja-JP"/>
    </w:rPr>
  </w:style>
  <w:style w:type="paragraph" w:styleId="ListNumber2">
    <w:name w:val="List Number 2"/>
    <w:basedOn w:val="Normal"/>
    <w:uiPriority w:val="99"/>
    <w:semiHidden/>
    <w:unhideWhenUsed/>
    <w:rsid w:val="00EA3D42"/>
    <w:pPr>
      <w:numPr>
        <w:numId w:val="13"/>
      </w:numPr>
      <w:spacing w:before="120" w:line="240" w:lineRule="auto"/>
      <w:contextualSpacing/>
    </w:pPr>
    <w:rPr>
      <w:rFonts w:eastAsiaTheme="minorHAnsi" w:cstheme="minorBidi"/>
      <w:szCs w:val="22"/>
      <w:lang w:eastAsia="en-US"/>
    </w:rPr>
  </w:style>
  <w:style w:type="character" w:styleId="Hyperlink">
    <w:name w:val="Hyperlink"/>
    <w:basedOn w:val="DefaultParagraphFont"/>
    <w:uiPriority w:val="99"/>
    <w:unhideWhenUsed/>
    <w:qFormat/>
    <w:rsid w:val="00BE1F1B"/>
    <w:rPr>
      <w:rFonts w:ascii="Arial" w:hAnsi="Arial"/>
      <w:color w:val="0000FF"/>
      <w:sz w:val="22"/>
      <w:u w:val="single"/>
    </w:rPr>
  </w:style>
  <w:style w:type="paragraph" w:styleId="BalloonText">
    <w:name w:val="Balloon Text"/>
    <w:basedOn w:val="Normal"/>
    <w:link w:val="BalloonTextChar"/>
    <w:uiPriority w:val="99"/>
    <w:semiHidden/>
    <w:unhideWhenUsed/>
    <w:rsid w:val="003518B3"/>
    <w:pPr>
      <w:spacing w:line="240" w:lineRule="auto"/>
    </w:pPr>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3518B3"/>
    <w:rPr>
      <w:rFonts w:ascii="Tahoma" w:hAnsi="Tahoma" w:cs="Tahoma"/>
      <w:sz w:val="16"/>
      <w:szCs w:val="16"/>
    </w:rPr>
  </w:style>
  <w:style w:type="paragraph" w:styleId="Footer">
    <w:name w:val="footer"/>
    <w:basedOn w:val="Normal"/>
    <w:link w:val="FooterChar"/>
    <w:uiPriority w:val="99"/>
    <w:unhideWhenUsed/>
    <w:qFormat/>
    <w:rsid w:val="001573E4"/>
    <w:pPr>
      <w:tabs>
        <w:tab w:val="center" w:pos="4513"/>
        <w:tab w:val="right" w:pos="9026"/>
      </w:tabs>
      <w:spacing w:before="60" w:line="240" w:lineRule="auto"/>
    </w:pPr>
    <w:rPr>
      <w:rFonts w:eastAsiaTheme="minorHAnsi" w:cstheme="minorBidi"/>
      <w:sz w:val="16"/>
      <w:szCs w:val="22"/>
      <w:lang w:eastAsia="en-US"/>
    </w:rPr>
  </w:style>
  <w:style w:type="character" w:customStyle="1" w:styleId="FooterChar">
    <w:name w:val="Footer Char"/>
    <w:basedOn w:val="DefaultParagraphFont"/>
    <w:link w:val="Footer"/>
    <w:uiPriority w:val="99"/>
    <w:rsid w:val="001573E4"/>
    <w:rPr>
      <w:rFonts w:ascii="Arial" w:hAnsi="Arial"/>
      <w:sz w:val="16"/>
    </w:rPr>
  </w:style>
  <w:style w:type="paragraph" w:styleId="ListParagraph">
    <w:name w:val="List Paragraph"/>
    <w:basedOn w:val="Normal"/>
    <w:uiPriority w:val="34"/>
    <w:qFormat/>
    <w:rsid w:val="00A60A26"/>
    <w:pPr>
      <w:spacing w:before="120" w:line="240" w:lineRule="auto"/>
      <w:ind w:left="357"/>
      <w:contextualSpacing/>
    </w:pPr>
    <w:rPr>
      <w:rFonts w:eastAsiaTheme="minorHAnsi" w:cstheme="minorBidi"/>
      <w:szCs w:val="22"/>
      <w:lang w:eastAsia="en-US"/>
    </w:rPr>
  </w:style>
  <w:style w:type="paragraph" w:customStyle="1" w:styleId="References">
    <w:name w:val="References"/>
    <w:basedOn w:val="Normal"/>
    <w:qFormat/>
    <w:rsid w:val="00053545"/>
    <w:pPr>
      <w:tabs>
        <w:tab w:val="left" w:pos="1701"/>
      </w:tabs>
    </w:pPr>
    <w:rPr>
      <w:sz w:val="20"/>
      <w:szCs w:val="20"/>
    </w:rPr>
  </w:style>
  <w:style w:type="paragraph" w:customStyle="1" w:styleId="Body">
    <w:name w:val="Body"/>
    <w:basedOn w:val="Normal"/>
    <w:link w:val="BodyChar"/>
    <w:qFormat/>
    <w:rsid w:val="00053545"/>
    <w:pPr>
      <w:spacing w:after="240"/>
    </w:pPr>
  </w:style>
  <w:style w:type="character" w:customStyle="1" w:styleId="BodyChar">
    <w:name w:val="Body Char"/>
    <w:basedOn w:val="DefaultParagraphFont"/>
    <w:link w:val="Body"/>
    <w:rsid w:val="00053545"/>
    <w:rPr>
      <w:rFonts w:ascii="Arial" w:eastAsia="Times New Roman" w:hAnsi="Arial" w:cs="Times New Roman"/>
      <w:szCs w:val="24"/>
      <w:lang w:eastAsia="en-AU"/>
    </w:rPr>
  </w:style>
  <w:style w:type="paragraph" w:styleId="FootnoteText">
    <w:name w:val="footnote text"/>
    <w:basedOn w:val="Normal"/>
    <w:link w:val="FootnoteTextChar"/>
    <w:uiPriority w:val="99"/>
    <w:semiHidden/>
    <w:unhideWhenUsed/>
    <w:rsid w:val="00605B7D"/>
    <w:pPr>
      <w:spacing w:line="240" w:lineRule="auto"/>
      <w:ind w:left="357" w:hanging="357"/>
    </w:pPr>
    <w:rPr>
      <w:rFonts w:eastAsiaTheme="minorHAnsi" w:cs="Arial"/>
      <w:sz w:val="20"/>
      <w:szCs w:val="20"/>
      <w:lang w:eastAsia="en-US"/>
    </w:rPr>
  </w:style>
  <w:style w:type="character" w:customStyle="1" w:styleId="FootnoteTextChar">
    <w:name w:val="Footnote Text Char"/>
    <w:basedOn w:val="DefaultParagraphFont"/>
    <w:link w:val="FootnoteText"/>
    <w:uiPriority w:val="99"/>
    <w:semiHidden/>
    <w:rsid w:val="00605B7D"/>
    <w:rPr>
      <w:rFonts w:ascii="Arial" w:hAnsi="Arial" w:cs="Arial"/>
      <w:sz w:val="20"/>
      <w:szCs w:val="20"/>
    </w:rPr>
  </w:style>
  <w:style w:type="paragraph" w:customStyle="1" w:styleId="RAPMbulletlistfirststyle">
    <w:name w:val="RAPM bullet list (first style)"/>
    <w:basedOn w:val="Normal"/>
    <w:rsid w:val="00605B7D"/>
    <w:pPr>
      <w:tabs>
        <w:tab w:val="num" w:pos="360"/>
      </w:tabs>
      <w:spacing w:after="240" w:line="240" w:lineRule="atLeast"/>
    </w:pPr>
    <w:rPr>
      <w:rFonts w:eastAsiaTheme="minorHAnsi" w:cs="Arial"/>
      <w:szCs w:val="22"/>
      <w:lang w:eastAsia="en-US"/>
    </w:rPr>
  </w:style>
  <w:style w:type="character" w:styleId="FootnoteReference">
    <w:name w:val="footnote reference"/>
    <w:basedOn w:val="DefaultParagraphFont"/>
    <w:uiPriority w:val="99"/>
    <w:semiHidden/>
    <w:unhideWhenUsed/>
    <w:rsid w:val="00605B7D"/>
    <w:rPr>
      <w:vertAlign w:val="superscript"/>
    </w:rPr>
  </w:style>
  <w:style w:type="paragraph" w:styleId="Title">
    <w:name w:val="Title"/>
    <w:basedOn w:val="Normal"/>
    <w:link w:val="TitleChar"/>
    <w:qFormat/>
    <w:rsid w:val="001F2DF3"/>
    <w:pPr>
      <w:spacing w:line="240" w:lineRule="auto"/>
      <w:jc w:val="center"/>
    </w:pPr>
    <w:rPr>
      <w:rFonts w:ascii="Times New Roman" w:hAnsi="Times New Roman"/>
      <w:b/>
      <w:sz w:val="28"/>
      <w:szCs w:val="20"/>
      <w:lang w:val="en-GB"/>
    </w:rPr>
  </w:style>
  <w:style w:type="character" w:customStyle="1" w:styleId="TitleChar">
    <w:name w:val="Title Char"/>
    <w:basedOn w:val="DefaultParagraphFont"/>
    <w:link w:val="Title"/>
    <w:rsid w:val="001F2DF3"/>
    <w:rPr>
      <w:rFonts w:ascii="Times New Roman" w:eastAsia="Times New Roman" w:hAnsi="Times New Roman" w:cs="Times New Roman"/>
      <w:b/>
      <w:sz w:val="28"/>
      <w:szCs w:val="20"/>
      <w:lang w:val="en-GB" w:eastAsia="en-AU"/>
    </w:rPr>
  </w:style>
  <w:style w:type="paragraph" w:customStyle="1" w:styleId="Default">
    <w:name w:val="Default"/>
    <w:rsid w:val="00811A7E"/>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3F018D"/>
    <w:rPr>
      <w:sz w:val="16"/>
      <w:szCs w:val="16"/>
    </w:rPr>
  </w:style>
  <w:style w:type="paragraph" w:styleId="CommentText">
    <w:name w:val="annotation text"/>
    <w:basedOn w:val="Normal"/>
    <w:link w:val="CommentTextChar"/>
    <w:uiPriority w:val="99"/>
    <w:semiHidden/>
    <w:unhideWhenUsed/>
    <w:rsid w:val="003F018D"/>
    <w:pPr>
      <w:spacing w:line="240" w:lineRule="auto"/>
    </w:pPr>
    <w:rPr>
      <w:sz w:val="20"/>
      <w:szCs w:val="20"/>
    </w:rPr>
  </w:style>
  <w:style w:type="character" w:customStyle="1" w:styleId="CommentTextChar">
    <w:name w:val="Comment Text Char"/>
    <w:basedOn w:val="DefaultParagraphFont"/>
    <w:link w:val="CommentText"/>
    <w:uiPriority w:val="99"/>
    <w:semiHidden/>
    <w:rsid w:val="003F018D"/>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3F018D"/>
    <w:rPr>
      <w:b/>
      <w:bCs/>
    </w:rPr>
  </w:style>
  <w:style w:type="character" w:customStyle="1" w:styleId="CommentSubjectChar">
    <w:name w:val="Comment Subject Char"/>
    <w:basedOn w:val="CommentTextChar"/>
    <w:link w:val="CommentSubject"/>
    <w:uiPriority w:val="99"/>
    <w:semiHidden/>
    <w:rsid w:val="003F018D"/>
    <w:rPr>
      <w:rFonts w:ascii="Arial" w:eastAsia="Times New Roman" w:hAnsi="Arial" w:cs="Times New Roman"/>
      <w:b/>
      <w:bCs/>
      <w:sz w:val="20"/>
      <w:szCs w:val="20"/>
      <w:lang w:eastAsia="en-AU"/>
    </w:rPr>
  </w:style>
  <w:style w:type="paragraph" w:styleId="Header">
    <w:name w:val="header"/>
    <w:basedOn w:val="Normal"/>
    <w:link w:val="HeaderChar"/>
    <w:uiPriority w:val="99"/>
    <w:unhideWhenUsed/>
    <w:rsid w:val="00302632"/>
    <w:pPr>
      <w:tabs>
        <w:tab w:val="center" w:pos="4513"/>
        <w:tab w:val="right" w:pos="9026"/>
      </w:tabs>
      <w:spacing w:line="240" w:lineRule="auto"/>
    </w:pPr>
  </w:style>
  <w:style w:type="character" w:customStyle="1" w:styleId="HeaderChar">
    <w:name w:val="Header Char"/>
    <w:basedOn w:val="DefaultParagraphFont"/>
    <w:link w:val="Header"/>
    <w:uiPriority w:val="99"/>
    <w:rsid w:val="00302632"/>
    <w:rPr>
      <w:rFonts w:ascii="Arial" w:eastAsia="Times New Roman" w:hAnsi="Arial" w:cs="Times New Roman"/>
      <w:szCs w:val="24"/>
      <w:lang w:eastAsia="en-AU"/>
    </w:rPr>
  </w:style>
  <w:style w:type="paragraph" w:customStyle="1" w:styleId="Address">
    <w:name w:val="Address"/>
    <w:basedOn w:val="Normal"/>
    <w:qFormat/>
    <w:rsid w:val="00FE5824"/>
    <w:pPr>
      <w:spacing w:line="260" w:lineRule="exact"/>
      <w:jc w:val="right"/>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568673">
      <w:bodyDiv w:val="1"/>
      <w:marLeft w:val="0"/>
      <w:marRight w:val="0"/>
      <w:marTop w:val="0"/>
      <w:marBottom w:val="0"/>
      <w:divBdr>
        <w:top w:val="none" w:sz="0" w:space="0" w:color="auto"/>
        <w:left w:val="none" w:sz="0" w:space="0" w:color="auto"/>
        <w:bottom w:val="none" w:sz="0" w:space="0" w:color="auto"/>
        <w:right w:val="none" w:sz="0" w:space="0" w:color="auto"/>
      </w:divBdr>
    </w:div>
    <w:div w:id="1045834519">
      <w:bodyDiv w:val="1"/>
      <w:marLeft w:val="0"/>
      <w:marRight w:val="0"/>
      <w:marTop w:val="0"/>
      <w:marBottom w:val="0"/>
      <w:divBdr>
        <w:top w:val="none" w:sz="0" w:space="0" w:color="auto"/>
        <w:left w:val="none" w:sz="0" w:space="0" w:color="auto"/>
        <w:bottom w:val="none" w:sz="0" w:space="0" w:color="auto"/>
        <w:right w:val="none" w:sz="0" w:space="0" w:color="auto"/>
      </w:divBdr>
    </w:div>
    <w:div w:id="1842156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mailto:FCB.Branch@daff.gov.au"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competitionpolicyreview.gov.au/files/2014/06/CBH_Group.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EF4DE7-A31F-40CF-A932-BB8E4C63D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5762CB6C.dotm</Template>
  <TotalTime>1</TotalTime>
  <Pages>1</Pages>
  <Words>2037</Words>
  <Characters>11614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ACCC</Company>
  <LinksUpToDate>false</LinksUpToDate>
  <CharactersWithSpaces>13624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Eddy</dc:creator>
  <cp:keywords/>
  <dc:description/>
  <cp:lastModifiedBy>Beardsley, Joanna</cp:lastModifiedBy>
  <cp:revision>3</cp:revision>
  <dcterms:created xsi:type="dcterms:W3CDTF">2014-06-24T06:45:00Z</dcterms:created>
  <dcterms:modified xsi:type="dcterms:W3CDTF">2014-06-24T22:51:00Z</dcterms:modified>
</cp:coreProperties>
</file>